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shd w:val="clear" w:color="auto" w:fill="FFF2CC" w:themeFill="accent4" w:themeFillTint="33"/>
        <w:tblLook w:val="04A0" w:firstRow="1" w:lastRow="0" w:firstColumn="1" w:lastColumn="0" w:noHBand="0" w:noVBand="1"/>
      </w:tblPr>
      <w:tblGrid>
        <w:gridCol w:w="9062"/>
      </w:tblGrid>
      <w:tr w:rsidR="00330F8C">
        <w:tc>
          <w:tcPr>
            <w:tcW w:w="9062" w:type="dxa"/>
            <w:shd w:val="clear" w:color="auto" w:fill="FFE599" w:themeFill="accent4" w:themeFillTint="66"/>
          </w:tcPr>
          <w:p w:rsidR="00330F8C" w:rsidRDefault="00073602">
            <w:pPr>
              <w:jc w:val="center"/>
              <w:rPr>
                <w:rFonts w:ascii="Calibri" w:hAnsi="Calibri" w:cs="Calibri"/>
                <w:b/>
              </w:rPr>
            </w:pPr>
            <w:r>
              <w:rPr>
                <w:rFonts w:ascii="Calibri" w:hAnsi="Calibri" w:cs="Calibri"/>
                <w:b/>
              </w:rPr>
              <w:t>Concertation pour le pacte et la loi d’orientation et d’avenir agricole</w:t>
            </w:r>
          </w:p>
        </w:tc>
      </w:tr>
      <w:tr w:rsidR="00330F8C">
        <w:tc>
          <w:tcPr>
            <w:tcW w:w="9062" w:type="dxa"/>
            <w:shd w:val="clear" w:color="auto" w:fill="FFF2CC" w:themeFill="accent4" w:themeFillTint="33"/>
          </w:tcPr>
          <w:p w:rsidR="00330F8C" w:rsidRDefault="00073602">
            <w:pPr>
              <w:jc w:val="center"/>
              <w:rPr>
                <w:rFonts w:ascii="Calibri" w:hAnsi="Calibri" w:cs="Calibri"/>
              </w:rPr>
            </w:pPr>
            <w:r>
              <w:rPr>
                <w:rFonts w:ascii="Calibri" w:hAnsi="Calibri" w:cs="Calibri"/>
              </w:rPr>
              <w:t>Fiche préparatoire à la concertation en groupe de travail « Tendances facteurs de production »</w:t>
            </w:r>
          </w:p>
          <w:p w:rsidR="00330F8C" w:rsidRDefault="00073602">
            <w:pPr>
              <w:jc w:val="center"/>
              <w:rPr>
                <w:rFonts w:ascii="Calibri" w:hAnsi="Calibri" w:cs="Calibri"/>
                <w:b/>
              </w:rPr>
            </w:pPr>
            <w:r>
              <w:rPr>
                <w:rFonts w:ascii="Calibri" w:hAnsi="Calibri" w:cs="Calibri"/>
                <w:b/>
                <w:i/>
              </w:rPr>
              <w:t>La protection sanitaire des cultures : phytosanitaires et alternatives</w:t>
            </w:r>
          </w:p>
        </w:tc>
      </w:tr>
    </w:tbl>
    <w:p w:rsidR="00330F8C" w:rsidRDefault="00330F8C" w:rsidP="00093D09">
      <w:pPr>
        <w:spacing w:after="0"/>
        <w:jc w:val="center"/>
        <w:rPr>
          <w:rFonts w:ascii="Calibri" w:hAnsi="Calibri" w:cs="Calibri"/>
          <w:sz w:val="10"/>
          <w:szCs w:val="10"/>
        </w:rPr>
      </w:pPr>
    </w:p>
    <w:tbl>
      <w:tblPr>
        <w:tblStyle w:val="Grilledutableau"/>
        <w:tblW w:w="0" w:type="auto"/>
        <w:tblLook w:val="04A0" w:firstRow="1" w:lastRow="0" w:firstColumn="1" w:lastColumn="0" w:noHBand="0" w:noVBand="1"/>
      </w:tblPr>
      <w:tblGrid>
        <w:gridCol w:w="9062"/>
      </w:tblGrid>
      <w:tr w:rsidR="00330F8C">
        <w:tc>
          <w:tcPr>
            <w:tcW w:w="9062" w:type="dxa"/>
            <w:shd w:val="clear" w:color="auto" w:fill="F2F2F2" w:themeFill="background1" w:themeFillShade="F2"/>
          </w:tcPr>
          <w:p w:rsidR="00330F8C" w:rsidRDefault="00073602">
            <w:pPr>
              <w:jc w:val="both"/>
              <w:rPr>
                <w:rFonts w:ascii="Calibri" w:hAnsi="Calibri" w:cs="Calibri"/>
              </w:rPr>
            </w:pPr>
            <w:r>
              <w:rPr>
                <w:rFonts w:ascii="Calibri" w:hAnsi="Calibri" w:cs="Calibri"/>
                <w:b/>
              </w:rPr>
              <w:t xml:space="preserve">1. Définition </w:t>
            </w:r>
            <w:r>
              <w:rPr>
                <w:rFonts w:ascii="Calibri" w:hAnsi="Calibri" w:cs="Calibri"/>
                <w:b/>
                <w:sz w:val="16"/>
              </w:rPr>
              <w:t>(3 lignes maximum)</w:t>
            </w:r>
            <w:r>
              <w:rPr>
                <w:rFonts w:ascii="Calibri" w:hAnsi="Calibri" w:cs="Calibri"/>
                <w:b/>
              </w:rPr>
              <w:t> </w:t>
            </w:r>
            <w:r>
              <w:rPr>
                <w:rFonts w:ascii="Calibri" w:hAnsi="Calibri" w:cs="Calibri"/>
                <w:b/>
                <w:sz w:val="16"/>
              </w:rPr>
              <w:t xml:space="preserve">: </w:t>
            </w:r>
            <w:r w:rsidRPr="00AE26DE">
              <w:rPr>
                <w:rFonts w:ascii="Calibri" w:hAnsi="Calibri" w:cs="Calibri"/>
                <w:sz w:val="20"/>
                <w:szCs w:val="21"/>
              </w:rPr>
              <w:t>Produits destinés à protéger les végétaux ou les produits végétaux contre les organismes nuisibles, à exercer une action sur leur processus vitaux ou à assurer leur conservation.</w:t>
            </w:r>
          </w:p>
        </w:tc>
      </w:tr>
    </w:tbl>
    <w:p w:rsidR="00330F8C" w:rsidRDefault="00330F8C" w:rsidP="00093D09">
      <w:pPr>
        <w:spacing w:after="0"/>
        <w:jc w:val="center"/>
        <w:rPr>
          <w:rFonts w:ascii="Calibri" w:hAnsi="Calibri" w:cs="Calibri"/>
          <w:sz w:val="10"/>
          <w:szCs w:val="10"/>
        </w:rPr>
      </w:pPr>
    </w:p>
    <w:tbl>
      <w:tblPr>
        <w:tblStyle w:val="Grilledutableau"/>
        <w:tblW w:w="0" w:type="auto"/>
        <w:tblLook w:val="04A0" w:firstRow="1" w:lastRow="0" w:firstColumn="1" w:lastColumn="0" w:noHBand="0" w:noVBand="1"/>
      </w:tblPr>
      <w:tblGrid>
        <w:gridCol w:w="9062"/>
      </w:tblGrid>
      <w:tr w:rsidR="00330F8C">
        <w:tc>
          <w:tcPr>
            <w:tcW w:w="9062" w:type="dxa"/>
            <w:shd w:val="clear" w:color="auto" w:fill="F2F2F2" w:themeFill="background1" w:themeFillShade="F2"/>
          </w:tcPr>
          <w:p w:rsidR="00330F8C" w:rsidRDefault="00073602">
            <w:pPr>
              <w:rPr>
                <w:rFonts w:ascii="Calibri" w:hAnsi="Calibri" w:cs="Calibri"/>
                <w:b/>
                <w:sz w:val="21"/>
                <w:szCs w:val="21"/>
              </w:rPr>
            </w:pPr>
            <w:r>
              <w:rPr>
                <w:rFonts w:ascii="Calibri" w:hAnsi="Calibri" w:cs="Calibri"/>
                <w:b/>
                <w:sz w:val="21"/>
                <w:szCs w:val="21"/>
              </w:rPr>
              <w:t>2. Éléments de contexte, tendances passées et situation actuelle (indicateurs, chiffres, etc.)</w:t>
            </w:r>
          </w:p>
          <w:p w:rsidR="00330F8C" w:rsidRDefault="00073602">
            <w:pPr>
              <w:pStyle w:val="Paragraphedeliste"/>
              <w:numPr>
                <w:ilvl w:val="0"/>
                <w:numId w:val="7"/>
              </w:numPr>
              <w:rPr>
                <w:rFonts w:ascii="Calibri" w:hAnsi="Calibri" w:cs="Calibri"/>
                <w:b/>
                <w:sz w:val="21"/>
                <w:szCs w:val="21"/>
              </w:rPr>
            </w:pPr>
            <w:r>
              <w:rPr>
                <w:rFonts w:ascii="Calibri" w:hAnsi="Calibri" w:cs="Calibri"/>
                <w:b/>
                <w:sz w:val="21"/>
                <w:szCs w:val="21"/>
              </w:rPr>
              <w:t>Une tendance de réduction globale de l’utilisation des PPP enclenchée</w:t>
            </w:r>
          </w:p>
          <w:p w:rsidR="00330F8C" w:rsidRPr="00AE26DE" w:rsidRDefault="00073602">
            <w:pPr>
              <w:jc w:val="both"/>
              <w:rPr>
                <w:rFonts w:ascii="Calibri" w:hAnsi="Calibri" w:cs="Calibri"/>
                <w:sz w:val="20"/>
                <w:szCs w:val="21"/>
              </w:rPr>
            </w:pPr>
            <w:r w:rsidRPr="00AE26DE">
              <w:rPr>
                <w:rFonts w:ascii="Calibri" w:hAnsi="Calibri" w:cs="Calibri"/>
                <w:sz w:val="20"/>
                <w:szCs w:val="21"/>
              </w:rPr>
              <w:t xml:space="preserve">En 2021, </w:t>
            </w:r>
            <w:r w:rsidRPr="00AE26DE">
              <w:rPr>
                <w:sz w:val="20"/>
                <w:szCs w:val="21"/>
              </w:rPr>
              <w:t xml:space="preserve">les ventes de PPP (hors produits utilisables en agriculture biologique et de biocontrôle), sont stables par rapport à 2020 (+0,7%) et restent 19 % en dessous de la moyenne 2012-2017. La moyenne triennale diminue plus récemment de 19% entre 2017-2019 et 2019-2021. </w:t>
            </w:r>
            <w:r w:rsidRPr="00AE26DE">
              <w:rPr>
                <w:rFonts w:ascii="Calibri" w:hAnsi="Calibri" w:cs="Calibri"/>
                <w:sz w:val="20"/>
                <w:szCs w:val="21"/>
              </w:rPr>
              <w:t xml:space="preserve">La diminution des ventes de substances les plus à risque (CMR1) se poursuit avec une baisse de 85% sur une période de 4 ans. Les herbicides sont les familles de fonction les plus vendus, suivis des fongicides et des insecticides. </w:t>
            </w:r>
          </w:p>
          <w:p w:rsidR="006B0C75" w:rsidRPr="00755D4F" w:rsidRDefault="006B0C75" w:rsidP="006B0C75">
            <w:pPr>
              <w:jc w:val="both"/>
              <w:rPr>
                <w:i/>
                <w:color w:val="0070C0"/>
                <w:sz w:val="18"/>
              </w:rPr>
            </w:pPr>
            <w:r w:rsidRPr="00755D4F">
              <w:rPr>
                <w:b/>
                <w:i/>
                <w:color w:val="0070C0"/>
                <w:sz w:val="18"/>
              </w:rPr>
              <w:t>En Occitanie</w:t>
            </w:r>
            <w:r w:rsidRPr="00755D4F">
              <w:rPr>
                <w:i/>
                <w:color w:val="0070C0"/>
                <w:sz w:val="18"/>
              </w:rPr>
              <w:t xml:space="preserve">, les achats de PPP (hors produits utilisables en agriculture biologique et de </w:t>
            </w:r>
            <w:r w:rsidR="00755D4F" w:rsidRPr="00755D4F">
              <w:rPr>
                <w:i/>
                <w:color w:val="0070C0"/>
                <w:sz w:val="18"/>
              </w:rPr>
              <w:t>biocontrôle</w:t>
            </w:r>
            <w:r w:rsidRPr="00755D4F">
              <w:rPr>
                <w:i/>
                <w:color w:val="0070C0"/>
                <w:sz w:val="18"/>
              </w:rPr>
              <w:t xml:space="preserve">) ont diminué de 15 % entre 2014/2016 et 2019/2021. La diminution des substances les plus à risque se poursuit avec une baisse de </w:t>
            </w:r>
            <w:r w:rsidR="008356B3" w:rsidRPr="00755D4F">
              <w:rPr>
                <w:i/>
                <w:color w:val="0070C0"/>
                <w:sz w:val="18"/>
              </w:rPr>
              <w:t xml:space="preserve">65 </w:t>
            </w:r>
            <w:r w:rsidRPr="00755D4F">
              <w:rPr>
                <w:i/>
                <w:color w:val="0070C0"/>
                <w:sz w:val="18"/>
              </w:rPr>
              <w:t>% pour les CMR1 et de 47% pour l’ensemble des CMR (1 et 2), ainsi que de 70% pour les perturbateurs endocriniens potentiels</w:t>
            </w:r>
            <w:r w:rsidR="008356B3" w:rsidRPr="00755D4F">
              <w:rPr>
                <w:i/>
                <w:color w:val="0070C0"/>
                <w:sz w:val="18"/>
              </w:rPr>
              <w:t xml:space="preserve"> (variations observées</w:t>
            </w:r>
            <w:r w:rsidR="00772F45" w:rsidRPr="00755D4F">
              <w:rPr>
                <w:i/>
                <w:color w:val="0070C0"/>
                <w:sz w:val="18"/>
              </w:rPr>
              <w:t xml:space="preserve"> entre 2014/2016 et 2019/2021</w:t>
            </w:r>
            <w:r w:rsidR="008356B3" w:rsidRPr="00755D4F">
              <w:rPr>
                <w:i/>
                <w:color w:val="0070C0"/>
                <w:sz w:val="18"/>
              </w:rPr>
              <w:t>)</w:t>
            </w:r>
            <w:r w:rsidRPr="00755D4F">
              <w:rPr>
                <w:i/>
                <w:color w:val="0070C0"/>
                <w:sz w:val="18"/>
              </w:rPr>
              <w:t xml:space="preserve">. Des données plus détaillées, issues des travaux régionaux de suivi de ces indicateurs, sont disponibles sur le site internet de la </w:t>
            </w:r>
            <w:hyperlink r:id="rId9" w:history="1">
              <w:r w:rsidRPr="00755D4F">
                <w:rPr>
                  <w:rStyle w:val="Lienhypertexte"/>
                  <w:i/>
                  <w:color w:val="0070C0"/>
                  <w:sz w:val="18"/>
                </w:rPr>
                <w:t>DRAAF</w:t>
              </w:r>
            </w:hyperlink>
            <w:r w:rsidRPr="00755D4F">
              <w:rPr>
                <w:i/>
                <w:color w:val="0070C0"/>
                <w:sz w:val="18"/>
              </w:rPr>
              <w:t xml:space="preserve">. </w:t>
            </w:r>
          </w:p>
          <w:p w:rsidR="006B0C75" w:rsidRPr="00093D09" w:rsidRDefault="006B0C75">
            <w:pPr>
              <w:jc w:val="both"/>
              <w:rPr>
                <w:rFonts w:ascii="Calibri" w:hAnsi="Calibri" w:cs="Calibri"/>
                <w:sz w:val="10"/>
                <w:szCs w:val="21"/>
              </w:rPr>
            </w:pPr>
          </w:p>
          <w:p w:rsidR="00330F8C" w:rsidRDefault="00073602">
            <w:pPr>
              <w:pStyle w:val="Paragraphedeliste"/>
              <w:numPr>
                <w:ilvl w:val="0"/>
                <w:numId w:val="7"/>
              </w:numPr>
              <w:jc w:val="both"/>
              <w:rPr>
                <w:b/>
                <w:sz w:val="21"/>
                <w:szCs w:val="21"/>
              </w:rPr>
            </w:pPr>
            <w:r>
              <w:rPr>
                <w:b/>
                <w:sz w:val="21"/>
                <w:szCs w:val="21"/>
              </w:rPr>
              <w:t>Un encadrement croissant de l’utilisation des PPP en lien avec les attentes sociétales et les connaissances scientifiques</w:t>
            </w:r>
          </w:p>
          <w:p w:rsidR="00330F8C" w:rsidRPr="00AE26DE" w:rsidRDefault="00073602">
            <w:pPr>
              <w:jc w:val="both"/>
              <w:rPr>
                <w:sz w:val="20"/>
                <w:szCs w:val="21"/>
              </w:rPr>
            </w:pPr>
            <w:r w:rsidRPr="00AE26DE">
              <w:rPr>
                <w:sz w:val="20"/>
                <w:szCs w:val="21"/>
              </w:rPr>
              <w:t xml:space="preserve">A la suite du « paquet pesticides » européen de 2009, le législateur est intervenu régulièrement au niveau national pour encadrer les conditions d’utilisation de PPP. Dès 2014 (loi d’avenir), la pulvérisation aérienne de PPP a été interdite (sauf expérimentation spécifique pour les drônes introduite en 2018), l’utilisation des PPP a été restreinte dans les lieux accueillant des enfants et à proximité des lieux accueillant des enfants ou d’autres personnes vulnérables puis, en 2018, à proximité des lieux d’habitation (mesures de sécurité formalisées dans des chartes d’engagements « riverains »). La loi « Labbé » a par ailleurs prévu l’interdiction de l’utilisation des PPP de synthèse dans les lieux publics et par les jardiniers amateurs qui est entrée pleinement en vigueur en 2022. En 2018, la loi EGAlim a interdit les remises, les rabais, les ristournes, la différenciation des conditions générales et particulières de vente, et a prévu la séparation des activités de vente et de conseil. Pour les utilisateurs de PPP, le recours à un conseiller est devenu obligatoire. Les distributeurs et applicateurs ont à promouvoir des actions visant à diminuer l’utilisation / l’impact des PPP dans le cadre du dispositif des certificats d’économie de produits phytopharmarceutiques (CEPP). </w:t>
            </w:r>
          </w:p>
          <w:p w:rsidR="00213389" w:rsidRDefault="00213389">
            <w:pPr>
              <w:jc w:val="both"/>
              <w:rPr>
                <w:i/>
                <w:color w:val="0070C0"/>
                <w:sz w:val="18"/>
              </w:rPr>
            </w:pPr>
            <w:r w:rsidRPr="00755D4F">
              <w:rPr>
                <w:b/>
                <w:i/>
                <w:color w:val="0070C0"/>
                <w:sz w:val="18"/>
              </w:rPr>
              <w:t>En Occitanie</w:t>
            </w:r>
            <w:r w:rsidRPr="00755D4F">
              <w:rPr>
                <w:i/>
                <w:color w:val="0070C0"/>
                <w:sz w:val="18"/>
              </w:rPr>
              <w:t xml:space="preserve">, </w:t>
            </w:r>
            <w:r w:rsidR="00001188" w:rsidRPr="00755D4F">
              <w:rPr>
                <w:i/>
                <w:color w:val="0070C0"/>
                <w:sz w:val="18"/>
              </w:rPr>
              <w:t>la FREDON, soutenue par le SRAL et l’ARS, a</w:t>
            </w:r>
            <w:r w:rsidR="00CD7481" w:rsidRPr="00755D4F">
              <w:rPr>
                <w:i/>
                <w:color w:val="0070C0"/>
                <w:sz w:val="18"/>
              </w:rPr>
              <w:t xml:space="preserve"> </w:t>
            </w:r>
            <w:r w:rsidR="00001188" w:rsidRPr="00755D4F">
              <w:rPr>
                <w:i/>
                <w:color w:val="0070C0"/>
                <w:sz w:val="18"/>
              </w:rPr>
              <w:t xml:space="preserve">mis en place une charte régionale permettant l’accompagnement des collectivités dans une démarche d’abandon progressif des PPP par l’adoption de techniques alternatives mécaniques ou thermiques et d’acceptation de la végétation spontanée. Cette charte, ouverte depuis 2017 aux campings et structures de loisir et de tourisme, s’inscrit dans les objectifs du plan régional Ecophyto et compte aujourd’hui 536 structures </w:t>
            </w:r>
            <w:r w:rsidR="00D244B7" w:rsidRPr="00755D4F">
              <w:rPr>
                <w:i/>
                <w:color w:val="0070C0"/>
                <w:sz w:val="18"/>
              </w:rPr>
              <w:t>labélisées</w:t>
            </w:r>
            <w:r w:rsidR="00CD7481" w:rsidRPr="00755D4F">
              <w:rPr>
                <w:i/>
                <w:color w:val="0070C0"/>
                <w:sz w:val="18"/>
              </w:rPr>
              <w:t xml:space="preserve"> (445 communes « O phyto », ainsi que 91 autres partenaires </w:t>
            </w:r>
            <w:r w:rsidR="00301649">
              <w:rPr>
                <w:i/>
                <w:color w:val="0070C0"/>
                <w:sz w:val="18"/>
              </w:rPr>
              <w:t xml:space="preserve">- </w:t>
            </w:r>
            <w:r w:rsidR="00CD7481" w:rsidRPr="00755D4F">
              <w:rPr>
                <w:i/>
                <w:color w:val="0070C0"/>
                <w:sz w:val="18"/>
              </w:rPr>
              <w:t>structures touristiques et de loisirs)</w:t>
            </w:r>
            <w:r w:rsidR="00D244B7" w:rsidRPr="00755D4F">
              <w:rPr>
                <w:i/>
                <w:color w:val="0070C0"/>
                <w:sz w:val="18"/>
              </w:rPr>
              <w:t>. Dans cette logique, la réflexion s’étend à d’autres lieux fréquentés par le public ou dans les lieux à usage collectif, tels que les cimetières et les terrains de sport</w:t>
            </w:r>
            <w:r w:rsidR="00CD7481" w:rsidRPr="00755D4F">
              <w:rPr>
                <w:i/>
                <w:color w:val="0070C0"/>
                <w:sz w:val="18"/>
              </w:rPr>
              <w:t>.</w:t>
            </w:r>
          </w:p>
          <w:p w:rsidR="00FD5728" w:rsidRPr="00093D09" w:rsidRDefault="00FD5728">
            <w:pPr>
              <w:jc w:val="both"/>
              <w:rPr>
                <w:i/>
                <w:color w:val="0070C0"/>
                <w:sz w:val="10"/>
              </w:rPr>
            </w:pPr>
          </w:p>
          <w:p w:rsidR="00330F8C" w:rsidRDefault="00073602">
            <w:pPr>
              <w:pStyle w:val="Paragraphedeliste"/>
              <w:numPr>
                <w:ilvl w:val="0"/>
                <w:numId w:val="7"/>
              </w:numPr>
              <w:jc w:val="both"/>
              <w:rPr>
                <w:rFonts w:ascii="Calibri" w:eastAsia="arialmt" w:hAnsi="Calibri" w:cs="Calibri"/>
                <w:b/>
                <w:sz w:val="21"/>
                <w:szCs w:val="21"/>
              </w:rPr>
            </w:pPr>
            <w:r>
              <w:rPr>
                <w:rFonts w:ascii="Calibri" w:eastAsia="arialmt" w:hAnsi="Calibri" w:cs="Calibri"/>
                <w:b/>
                <w:sz w:val="21"/>
                <w:szCs w:val="21"/>
              </w:rPr>
              <w:t xml:space="preserve">Un manque d’anticipation des filières face au retrait croissant de substances actives </w:t>
            </w:r>
          </w:p>
          <w:p w:rsidR="00330F8C" w:rsidRPr="00AE26DE" w:rsidRDefault="00073602">
            <w:pPr>
              <w:jc w:val="both"/>
              <w:rPr>
                <w:rFonts w:ascii="Calibri" w:eastAsia="arialmt" w:hAnsi="Calibri" w:cs="Calibri"/>
                <w:sz w:val="20"/>
                <w:szCs w:val="21"/>
              </w:rPr>
            </w:pPr>
            <w:r w:rsidRPr="00AE26DE">
              <w:rPr>
                <w:rFonts w:ascii="Calibri" w:eastAsia="arialmt" w:hAnsi="Calibri" w:cs="Calibri"/>
                <w:sz w:val="20"/>
                <w:szCs w:val="21"/>
              </w:rPr>
              <w:t xml:space="preserve">Un nombre croissant de substances phytopharmaceutiques préoccupantes ont été retirées du marché ces dernières années. De récents retraits (néonicotinoïdes, suite à la loi « Biodiversité » de 2016 ou phosmet) ont révélé le manque d’anticipation dans le développement et la mise en œuvre d’alternatives opérationnelles, chimiques et non chimiques, mettant en difficulté les filières concernées. </w:t>
            </w:r>
            <w:r w:rsidRPr="00AE26DE">
              <w:rPr>
                <w:rFonts w:ascii="Calibri" w:hAnsi="Calibri" w:cs="Calibri"/>
                <w:sz w:val="20"/>
                <w:szCs w:val="21"/>
              </w:rPr>
              <w:t xml:space="preserve">Les filières doivent se mobiliser davantage pour développer le recours aux méthodes alternatives. En effet, les plans d’actions mis en place en urgence par le MASA (PNRI doté de 7M€ pour le retrait des néonicotinoïdes, plan CGAAER/ phosmet pour le colza) ne peuvent être démultipliés alors qu’une </w:t>
            </w:r>
            <w:r w:rsidRPr="00AE26DE">
              <w:rPr>
                <w:rFonts w:ascii="Calibri" w:eastAsia="arialmt" w:hAnsi="Calibri" w:cs="Calibri"/>
                <w:sz w:val="20"/>
                <w:szCs w:val="21"/>
              </w:rPr>
              <w:t xml:space="preserve">quarantaine de substances parmi les 250 substances dont l’approbation expirera d’ici 2025 sont menacées de retrait et considérées comme très difficiles à substituer chimiquement (soit 30% des quantités utilisées sur la période 2017-2019). Le MASA a lancé à cette fin 2 études afin d’anticiper les retraits de substances préoccupantes (RACAM et CERESCO). </w:t>
            </w:r>
            <w:r w:rsidRPr="00AE26DE">
              <w:rPr>
                <w:rFonts w:ascii="Calibri" w:hAnsi="Calibri" w:cs="Calibri"/>
                <w:sz w:val="20"/>
                <w:szCs w:val="21"/>
              </w:rPr>
              <w:t>Le contexte spécifique des départements d’outre-mer nécessite une attention particulière pour accompagner des filières majeures (cf. canne à sucre, banane).</w:t>
            </w:r>
            <w:r w:rsidRPr="00AE26DE">
              <w:rPr>
                <w:rFonts w:ascii="Calibri" w:eastAsia="arialmt" w:hAnsi="Calibri" w:cs="Calibri"/>
                <w:sz w:val="20"/>
                <w:szCs w:val="21"/>
              </w:rPr>
              <w:t xml:space="preserve"> D’une façon générale, la capacité à produire en France est une préoccupation croissante des filières dans un contexte de distorsion de concurrence qu’elles ressentent comme s’aggravant, y compris du fait des différences de pratiques entre EM ou agences sanitaires. Les efforts de recherche et innovation sont pour toutes ces raisons à soutenir et prioriser. En matière d’innovation variétale, il convient</w:t>
            </w:r>
            <w:r w:rsidRPr="00AE26DE">
              <w:rPr>
                <w:rFonts w:ascii="Calibri" w:hAnsi="Calibri" w:cs="Calibri"/>
                <w:sz w:val="20"/>
                <w:szCs w:val="21"/>
              </w:rPr>
              <w:t xml:space="preserve"> d’éclairer le débat public pour pouvoir soutenir les travaux européens visant à encadrer les nouvelles </w:t>
            </w:r>
            <w:r w:rsidRPr="00AE26DE">
              <w:rPr>
                <w:rFonts w:ascii="Calibri" w:hAnsi="Calibri" w:cs="Calibri"/>
                <w:sz w:val="20"/>
                <w:szCs w:val="21"/>
              </w:rPr>
              <w:lastRenderedPageBreak/>
              <w:t>techniques de mutagénèse dirigée (NBT) qui peuvent constituer des opportunités pour améliorer la résilience des plantes.</w:t>
            </w:r>
            <w:r w:rsidRPr="00AE26DE">
              <w:rPr>
                <w:rFonts w:ascii="Calibri" w:eastAsia="arialmt" w:hAnsi="Calibri" w:cs="Calibri"/>
                <w:sz w:val="20"/>
                <w:szCs w:val="21"/>
              </w:rPr>
              <w:t xml:space="preserve"> </w:t>
            </w:r>
          </w:p>
          <w:p w:rsidR="00B92887" w:rsidRDefault="00755D4F">
            <w:pPr>
              <w:jc w:val="both"/>
              <w:rPr>
                <w:i/>
                <w:color w:val="0070C0"/>
                <w:sz w:val="18"/>
              </w:rPr>
            </w:pPr>
            <w:r w:rsidRPr="00FD5728">
              <w:rPr>
                <w:b/>
                <w:i/>
                <w:color w:val="0070C0"/>
                <w:sz w:val="18"/>
              </w:rPr>
              <w:t>En Occitanie</w:t>
            </w:r>
            <w:r w:rsidRPr="00755D4F">
              <w:rPr>
                <w:i/>
                <w:color w:val="0070C0"/>
                <w:sz w:val="18"/>
              </w:rPr>
              <w:t xml:space="preserve">, </w:t>
            </w:r>
            <w:r w:rsidR="00FD5728">
              <w:rPr>
                <w:i/>
                <w:color w:val="0070C0"/>
                <w:sz w:val="18"/>
              </w:rPr>
              <w:t>m</w:t>
            </w:r>
            <w:r w:rsidR="00B92887" w:rsidRPr="00755D4F">
              <w:rPr>
                <w:i/>
                <w:color w:val="0070C0"/>
                <w:sz w:val="18"/>
              </w:rPr>
              <w:t xml:space="preserve">ême s’il est vrai que certaines filières n’anticipent pas assez le retrait progressif de substances actives, d’autres se mobilisent depuis plusieurs années, comme la filière viticole, majoritaire en </w:t>
            </w:r>
            <w:r w:rsidR="00FD5728">
              <w:rPr>
                <w:i/>
                <w:color w:val="0070C0"/>
                <w:sz w:val="18"/>
              </w:rPr>
              <w:t>région</w:t>
            </w:r>
            <w:r w:rsidR="00B92887" w:rsidRPr="00755D4F">
              <w:rPr>
                <w:i/>
                <w:color w:val="0070C0"/>
                <w:sz w:val="18"/>
              </w:rPr>
              <w:t xml:space="preserve">, où la </w:t>
            </w:r>
            <w:r w:rsidR="00361741" w:rsidRPr="00755D4F">
              <w:rPr>
                <w:i/>
                <w:color w:val="0070C0"/>
                <w:sz w:val="18"/>
              </w:rPr>
              <w:t>réflexion (</w:t>
            </w:r>
            <w:r w:rsidR="00407120" w:rsidRPr="00755D4F">
              <w:rPr>
                <w:i/>
                <w:color w:val="0070C0"/>
                <w:sz w:val="18"/>
              </w:rPr>
              <w:t>commune INRAE et IFV Occitanie)</w:t>
            </w:r>
            <w:r w:rsidR="00B92887" w:rsidRPr="00755D4F">
              <w:rPr>
                <w:i/>
                <w:color w:val="0070C0"/>
                <w:sz w:val="18"/>
              </w:rPr>
              <w:t xml:space="preserve"> sur les cépages résistants à certaines maladies a abouti</w:t>
            </w:r>
            <w:r w:rsidR="007B060A" w:rsidRPr="00755D4F">
              <w:rPr>
                <w:i/>
                <w:color w:val="0070C0"/>
                <w:sz w:val="18"/>
              </w:rPr>
              <w:t xml:space="preserve"> à des plantations importantes</w:t>
            </w:r>
            <w:r w:rsidR="00407120" w:rsidRPr="00755D4F">
              <w:rPr>
                <w:i/>
                <w:color w:val="0070C0"/>
                <w:sz w:val="18"/>
              </w:rPr>
              <w:t xml:space="preserve"> en « Vin sans Indication Géographique »</w:t>
            </w:r>
            <w:r w:rsidR="007B060A" w:rsidRPr="00755D4F">
              <w:rPr>
                <w:i/>
                <w:color w:val="0070C0"/>
                <w:sz w:val="18"/>
              </w:rPr>
              <w:t>. Depuis 2018, il est même possible d</w:t>
            </w:r>
            <w:r w:rsidR="00407120" w:rsidRPr="00755D4F">
              <w:rPr>
                <w:i/>
                <w:color w:val="0070C0"/>
                <w:sz w:val="18"/>
              </w:rPr>
              <w:t>’intégrer c</w:t>
            </w:r>
            <w:r w:rsidR="007B060A" w:rsidRPr="00755D4F">
              <w:rPr>
                <w:i/>
                <w:color w:val="0070C0"/>
                <w:sz w:val="18"/>
              </w:rPr>
              <w:t>es « nouveaux cépages résistants » dans les cahiers des charges des IGP viticoles et nombreuses sont celles</w:t>
            </w:r>
            <w:r w:rsidR="00407120" w:rsidRPr="00755D4F">
              <w:rPr>
                <w:i/>
                <w:color w:val="0070C0"/>
                <w:sz w:val="18"/>
              </w:rPr>
              <w:t xml:space="preserve"> en Occitanie</w:t>
            </w:r>
            <w:r w:rsidR="007B060A" w:rsidRPr="00755D4F">
              <w:rPr>
                <w:i/>
                <w:color w:val="0070C0"/>
                <w:sz w:val="18"/>
              </w:rPr>
              <w:t xml:space="preserve"> qui ont déjà franchi le cap, à l’instar des IGP Pays d’Oc, C</w:t>
            </w:r>
            <w:r w:rsidR="00407120" w:rsidRPr="00755D4F">
              <w:rPr>
                <w:i/>
                <w:color w:val="0070C0"/>
                <w:sz w:val="18"/>
              </w:rPr>
              <w:t>évennes, Gard et Comté Tolosan.</w:t>
            </w:r>
            <w:r w:rsidR="00812FA3" w:rsidRPr="00755D4F">
              <w:rPr>
                <w:i/>
                <w:color w:val="0070C0"/>
                <w:sz w:val="18"/>
              </w:rPr>
              <w:t xml:space="preserve"> </w:t>
            </w:r>
          </w:p>
          <w:p w:rsidR="00FD5728" w:rsidRPr="00093D09" w:rsidRDefault="00FD5728">
            <w:pPr>
              <w:jc w:val="both"/>
              <w:rPr>
                <w:i/>
                <w:color w:val="0070C0"/>
                <w:sz w:val="10"/>
              </w:rPr>
            </w:pPr>
          </w:p>
          <w:p w:rsidR="00330F8C" w:rsidRDefault="00073602">
            <w:pPr>
              <w:pStyle w:val="Paragraphedeliste"/>
              <w:numPr>
                <w:ilvl w:val="0"/>
                <w:numId w:val="7"/>
              </w:numPr>
              <w:jc w:val="both"/>
              <w:rPr>
                <w:rFonts w:ascii="Calibri" w:hAnsi="Calibri" w:cs="Calibri"/>
                <w:b/>
                <w:sz w:val="21"/>
                <w:szCs w:val="21"/>
              </w:rPr>
            </w:pPr>
            <w:r>
              <w:rPr>
                <w:rFonts w:ascii="Calibri" w:eastAsia="arialmt" w:hAnsi="Calibri" w:cs="Calibri"/>
                <w:b/>
                <w:sz w:val="21"/>
                <w:szCs w:val="21"/>
              </w:rPr>
              <w:t>Des</w:t>
            </w:r>
            <w:r>
              <w:rPr>
                <w:rFonts w:ascii="Calibri" w:hAnsi="Calibri" w:cs="Calibri"/>
                <w:b/>
                <w:sz w:val="21"/>
                <w:szCs w:val="21"/>
              </w:rPr>
              <w:t xml:space="preserve"> politiques publiques incitatives existantes à optimiser  </w:t>
            </w:r>
          </w:p>
          <w:p w:rsidR="00330F8C" w:rsidRPr="00AE26DE" w:rsidRDefault="00073602">
            <w:pPr>
              <w:jc w:val="both"/>
              <w:rPr>
                <w:rFonts w:ascii="Calibri" w:hAnsi="Calibri" w:cs="Calibri"/>
                <w:sz w:val="20"/>
                <w:szCs w:val="21"/>
              </w:rPr>
            </w:pPr>
            <w:r w:rsidRPr="00AE26DE">
              <w:rPr>
                <w:rFonts w:ascii="Calibri" w:hAnsi="Calibri" w:cs="Calibri"/>
                <w:sz w:val="20"/>
                <w:szCs w:val="21"/>
              </w:rPr>
              <w:t>L’objectif de réduction de 50% des quantités de ppp a été fixé par le plan Ecophyto II+. Le plan Ecophyto, (depuis son lancement en2008), ne recouvre toutefois qu’une part limitée des moyens d’action mis en œuvre ou mobilisables. Plusieurs dispositifs contribuent à cet objectif, comme les fermes DEPHY « pilotes » (-18% sur 7 à 10 ans) ou le « bulletin de santé du végétal » qui contribue à la protection intégrée des cultures (PIC). D’autres stratégies ont également été mise</w:t>
            </w:r>
            <w:r w:rsidR="00772F45" w:rsidRPr="00AE26DE">
              <w:rPr>
                <w:rFonts w:ascii="Calibri" w:hAnsi="Calibri" w:cs="Calibri"/>
                <w:sz w:val="20"/>
                <w:szCs w:val="21"/>
              </w:rPr>
              <w:t>s</w:t>
            </w:r>
            <w:r w:rsidRPr="00AE26DE">
              <w:rPr>
                <w:rFonts w:ascii="Calibri" w:hAnsi="Calibri" w:cs="Calibri"/>
                <w:sz w:val="20"/>
                <w:szCs w:val="21"/>
              </w:rPr>
              <w:t xml:space="preserve"> en place, comme la stratégie nationale de déploiement du biocontrôle (2020 – 2025). Ce type de solutions représente, en 2021, 13% de parts de marché des PPP. </w:t>
            </w:r>
          </w:p>
          <w:p w:rsidR="008443C6" w:rsidRDefault="00772F45">
            <w:pPr>
              <w:jc w:val="both"/>
              <w:rPr>
                <w:rFonts w:ascii="Calibri" w:hAnsi="Calibri" w:cs="Calibri"/>
                <w:i/>
                <w:color w:val="0070C0"/>
                <w:sz w:val="18"/>
                <w:szCs w:val="21"/>
              </w:rPr>
            </w:pPr>
            <w:r w:rsidRPr="00FD5728">
              <w:rPr>
                <w:rFonts w:ascii="Calibri" w:hAnsi="Calibri" w:cs="Calibri"/>
                <w:b/>
                <w:i/>
                <w:color w:val="0070C0"/>
                <w:sz w:val="18"/>
                <w:szCs w:val="21"/>
              </w:rPr>
              <w:t>En Occitanie</w:t>
            </w:r>
            <w:r w:rsidRPr="00FD5728">
              <w:rPr>
                <w:rFonts w:ascii="Calibri" w:hAnsi="Calibri" w:cs="Calibri"/>
                <w:i/>
                <w:color w:val="0070C0"/>
                <w:sz w:val="18"/>
                <w:szCs w:val="21"/>
              </w:rPr>
              <w:t xml:space="preserve">, le déploiement des collectifs agro-écologiques se poursuit. La région Occitanie est au premier rang avec 31 fermes Dephy. </w:t>
            </w:r>
            <w:r w:rsidR="008356B3" w:rsidRPr="00FD5728">
              <w:rPr>
                <w:rFonts w:ascii="Calibri" w:hAnsi="Calibri" w:cs="Calibri"/>
                <w:i/>
                <w:color w:val="0070C0"/>
                <w:sz w:val="18"/>
                <w:szCs w:val="21"/>
              </w:rPr>
              <w:t>Les groupes 30 000 sont au nombre de</w:t>
            </w:r>
            <w:r w:rsidR="00462998" w:rsidRPr="00FD5728">
              <w:rPr>
                <w:rFonts w:ascii="Calibri" w:hAnsi="Calibri" w:cs="Calibri"/>
                <w:i/>
                <w:color w:val="0070C0"/>
                <w:sz w:val="18"/>
                <w:szCs w:val="21"/>
              </w:rPr>
              <w:t xml:space="preserve"> 47</w:t>
            </w:r>
            <w:r w:rsidR="008356B3" w:rsidRPr="00FD5728">
              <w:rPr>
                <w:rFonts w:ascii="Calibri" w:hAnsi="Calibri" w:cs="Calibri"/>
                <w:i/>
                <w:color w:val="0070C0"/>
                <w:sz w:val="18"/>
                <w:szCs w:val="21"/>
              </w:rPr>
              <w:t>. En rajoutant les GIEE réduction phyto, ce sont plus de 1200 exploitations agricoles intégrées dans</w:t>
            </w:r>
            <w:r w:rsidR="00462998" w:rsidRPr="00FD5728">
              <w:rPr>
                <w:rFonts w:ascii="Calibri" w:hAnsi="Calibri" w:cs="Calibri"/>
                <w:i/>
                <w:color w:val="0070C0"/>
                <w:sz w:val="18"/>
                <w:szCs w:val="21"/>
              </w:rPr>
              <w:t xml:space="preserve"> ce réseau</w:t>
            </w:r>
            <w:r w:rsidR="008356B3" w:rsidRPr="00FD5728">
              <w:rPr>
                <w:rFonts w:ascii="Calibri" w:hAnsi="Calibri" w:cs="Calibri"/>
                <w:i/>
                <w:color w:val="0070C0"/>
                <w:sz w:val="18"/>
                <w:szCs w:val="21"/>
              </w:rPr>
              <w:t xml:space="preserve">. </w:t>
            </w:r>
            <w:r w:rsidR="00462998" w:rsidRPr="00FD5728">
              <w:rPr>
                <w:rFonts w:ascii="Calibri" w:hAnsi="Calibri" w:cs="Calibri"/>
                <w:i/>
                <w:color w:val="0070C0"/>
                <w:sz w:val="18"/>
                <w:szCs w:val="21"/>
              </w:rPr>
              <w:t xml:space="preserve">En parallèle, pour appuyer les prises de décision, 19 éditions régionales de </w:t>
            </w:r>
            <w:r w:rsidR="008443C6">
              <w:rPr>
                <w:rFonts w:ascii="Calibri" w:hAnsi="Calibri" w:cs="Calibri"/>
                <w:i/>
                <w:color w:val="0070C0"/>
                <w:sz w:val="18"/>
                <w:szCs w:val="21"/>
              </w:rPr>
              <w:t>Bulletins de Santé du Végétal (</w:t>
            </w:r>
            <w:r w:rsidR="00462998" w:rsidRPr="00FD5728">
              <w:rPr>
                <w:rFonts w:ascii="Calibri" w:hAnsi="Calibri" w:cs="Calibri"/>
                <w:i/>
                <w:color w:val="0070C0"/>
                <w:sz w:val="18"/>
                <w:szCs w:val="21"/>
              </w:rPr>
              <w:t>BSV</w:t>
            </w:r>
            <w:r w:rsidR="008443C6">
              <w:rPr>
                <w:rFonts w:ascii="Calibri" w:hAnsi="Calibri" w:cs="Calibri"/>
                <w:i/>
                <w:color w:val="0070C0"/>
                <w:sz w:val="18"/>
                <w:szCs w:val="21"/>
              </w:rPr>
              <w:t>)</w:t>
            </w:r>
            <w:r w:rsidR="00462998" w:rsidRPr="00FD5728">
              <w:rPr>
                <w:rFonts w:ascii="Calibri" w:hAnsi="Calibri" w:cs="Calibri"/>
                <w:i/>
                <w:color w:val="0070C0"/>
                <w:sz w:val="18"/>
                <w:szCs w:val="21"/>
              </w:rPr>
              <w:t xml:space="preserve"> sont proposées avec une publication qui s’élève à 370 BSV chaque année. </w:t>
            </w:r>
          </w:p>
          <w:p w:rsidR="00462998" w:rsidRPr="00FD5728" w:rsidRDefault="00462998">
            <w:pPr>
              <w:jc w:val="both"/>
              <w:rPr>
                <w:rFonts w:ascii="Calibri" w:hAnsi="Calibri" w:cs="Calibri"/>
                <w:i/>
                <w:color w:val="0070C0"/>
                <w:sz w:val="18"/>
                <w:szCs w:val="21"/>
              </w:rPr>
            </w:pPr>
            <w:r w:rsidRPr="00FD5728">
              <w:rPr>
                <w:rFonts w:ascii="Calibri" w:hAnsi="Calibri" w:cs="Calibri"/>
                <w:i/>
                <w:color w:val="0070C0"/>
                <w:sz w:val="18"/>
                <w:szCs w:val="21"/>
              </w:rPr>
              <w:t>Le</w:t>
            </w:r>
            <w:r w:rsidR="008443C6">
              <w:rPr>
                <w:rFonts w:ascii="Calibri" w:hAnsi="Calibri" w:cs="Calibri"/>
                <w:i/>
                <w:color w:val="0070C0"/>
                <w:sz w:val="18"/>
                <w:szCs w:val="21"/>
              </w:rPr>
              <w:t xml:space="preserve"> </w:t>
            </w:r>
            <w:r w:rsidR="00FD5728" w:rsidRPr="00FD5728">
              <w:rPr>
                <w:rFonts w:ascii="Calibri" w:hAnsi="Calibri" w:cs="Calibri"/>
                <w:i/>
                <w:color w:val="0070C0"/>
                <w:sz w:val="18"/>
                <w:szCs w:val="21"/>
              </w:rPr>
              <w:t>biocontrôle</w:t>
            </w:r>
            <w:r w:rsidRPr="00FD5728">
              <w:rPr>
                <w:rFonts w:ascii="Calibri" w:hAnsi="Calibri" w:cs="Calibri"/>
                <w:i/>
                <w:color w:val="0070C0"/>
                <w:sz w:val="18"/>
                <w:szCs w:val="21"/>
              </w:rPr>
              <w:t xml:space="preserve"> continue sa progression et représente </w:t>
            </w:r>
            <w:r w:rsidR="009F7155" w:rsidRPr="00FD5728">
              <w:rPr>
                <w:rFonts w:ascii="Calibri" w:hAnsi="Calibri" w:cs="Calibri"/>
                <w:i/>
                <w:color w:val="0070C0"/>
                <w:sz w:val="18"/>
                <w:szCs w:val="21"/>
              </w:rPr>
              <w:t>53% des achats régionaux de produits phytopharmaceutiques (en tonne) confirmant un progrès encourageant dans l’évolution des pratiques.</w:t>
            </w:r>
          </w:p>
          <w:p w:rsidR="00772F45" w:rsidRPr="00093D09" w:rsidRDefault="00772F45">
            <w:pPr>
              <w:jc w:val="both"/>
              <w:rPr>
                <w:rFonts w:ascii="Calibri" w:hAnsi="Calibri" w:cs="Calibri"/>
                <w:b/>
                <w:i/>
                <w:sz w:val="10"/>
                <w:szCs w:val="21"/>
              </w:rPr>
            </w:pPr>
          </w:p>
          <w:p w:rsidR="00330F8C" w:rsidRDefault="00073602">
            <w:pPr>
              <w:pStyle w:val="Paragraphedeliste"/>
              <w:numPr>
                <w:ilvl w:val="0"/>
                <w:numId w:val="7"/>
              </w:numPr>
              <w:ind w:left="714" w:hanging="357"/>
              <w:rPr>
                <w:rFonts w:ascii="Calibri" w:hAnsi="Calibri" w:cs="Calibri"/>
                <w:i/>
                <w:sz w:val="21"/>
                <w:szCs w:val="21"/>
              </w:rPr>
            </w:pPr>
            <w:r>
              <w:rPr>
                <w:rFonts w:ascii="Calibri" w:hAnsi="Calibri" w:cs="Calibri"/>
                <w:b/>
                <w:sz w:val="21"/>
                <w:szCs w:val="21"/>
              </w:rPr>
              <w:t>Un accompagnement technique et financier des agriculteurs</w:t>
            </w:r>
            <w:r>
              <w:rPr>
                <w:rFonts w:ascii="Calibri" w:hAnsi="Calibri" w:cs="Calibri"/>
                <w:i/>
                <w:sz w:val="21"/>
                <w:szCs w:val="21"/>
              </w:rPr>
              <w:t xml:space="preserve"> </w:t>
            </w:r>
            <w:r>
              <w:rPr>
                <w:rFonts w:ascii="Calibri" w:hAnsi="Calibri" w:cs="Calibri"/>
                <w:b/>
                <w:sz w:val="21"/>
                <w:szCs w:val="21"/>
              </w:rPr>
              <w:t>à consolider</w:t>
            </w:r>
            <w:r>
              <w:rPr>
                <w:rFonts w:ascii="Calibri" w:hAnsi="Calibri" w:cs="Calibri"/>
                <w:i/>
                <w:sz w:val="21"/>
                <w:szCs w:val="21"/>
              </w:rPr>
              <w:t xml:space="preserve"> </w:t>
            </w:r>
          </w:p>
          <w:p w:rsidR="00330F8C" w:rsidRPr="00AE26DE" w:rsidRDefault="00073602">
            <w:pPr>
              <w:jc w:val="both"/>
              <w:rPr>
                <w:rFonts w:ascii="Calibri" w:hAnsi="Calibri" w:cs="Calibri"/>
                <w:sz w:val="20"/>
                <w:szCs w:val="21"/>
              </w:rPr>
            </w:pPr>
            <w:r w:rsidRPr="00AE26DE">
              <w:rPr>
                <w:rFonts w:ascii="Calibri" w:hAnsi="Calibri" w:cs="Calibri"/>
                <w:sz w:val="20"/>
                <w:szCs w:val="21"/>
              </w:rPr>
              <w:t xml:space="preserve">Le plan Ecophyto est doté d’une enveloppe de 41M€ à laquelle s’ajoutent 30M€ de crédits des Agences de l’Eau. 10 millions d’euros par an sont versés à des projets de recherche et de déploiement liés au biocontrôle et 10 millions d’euros par an (donnée 2021) sont investis pour l’accompagnement des entreprises engagées dans la réduction des PPP. La PAC subventionne les agriculteurs engagés dans des pratiques vertueuses (MAEC), les utilisateurs de biocontrôle de la filière fruits et légumes dans le cadre des Programmes opérationnels et les exploitations sous signes de qualité ou d'origine (30% des exploitations en 2020). Le levier financier devrait toutefois pouvoir être utilisé de manière plus systématique pour récompenser/accompagner les agriculteurs mettant en œuvre des pratiques vertueuses au niveau de l’utilisation des PPP.  En parallèle, l’accompagnement du changement des pratiques agricoles peine à se structurer. </w:t>
            </w:r>
          </w:p>
          <w:p w:rsidR="00113AC0" w:rsidRPr="00FD5728" w:rsidRDefault="00DC2FCA">
            <w:pPr>
              <w:jc w:val="both"/>
              <w:rPr>
                <w:rFonts w:ascii="Calibri" w:hAnsi="Calibri" w:cs="Calibri"/>
                <w:i/>
                <w:color w:val="0070C0"/>
                <w:sz w:val="18"/>
                <w:szCs w:val="21"/>
              </w:rPr>
            </w:pPr>
            <w:r w:rsidRPr="00FD5728">
              <w:rPr>
                <w:rFonts w:ascii="Calibri" w:hAnsi="Calibri" w:cs="Calibri"/>
                <w:i/>
                <w:color w:val="0070C0"/>
                <w:sz w:val="18"/>
                <w:szCs w:val="21"/>
              </w:rPr>
              <w:t>L’</w:t>
            </w:r>
            <w:r w:rsidRPr="00FD5728">
              <w:rPr>
                <w:rFonts w:ascii="Calibri" w:hAnsi="Calibri" w:cs="Calibri"/>
                <w:b/>
                <w:i/>
                <w:color w:val="0070C0"/>
                <w:sz w:val="18"/>
                <w:szCs w:val="21"/>
              </w:rPr>
              <w:t>Occitanie</w:t>
            </w:r>
            <w:r w:rsidRPr="00FD5728">
              <w:rPr>
                <w:rFonts w:ascii="Calibri" w:hAnsi="Calibri" w:cs="Calibri"/>
                <w:i/>
                <w:color w:val="0070C0"/>
                <w:sz w:val="18"/>
                <w:szCs w:val="21"/>
              </w:rPr>
              <w:t xml:space="preserve"> est la 1</w:t>
            </w:r>
            <w:r w:rsidRPr="00FD5728">
              <w:rPr>
                <w:rFonts w:ascii="Calibri" w:hAnsi="Calibri" w:cs="Calibri"/>
                <w:i/>
                <w:color w:val="0070C0"/>
                <w:sz w:val="18"/>
                <w:szCs w:val="21"/>
                <w:vertAlign w:val="superscript"/>
              </w:rPr>
              <w:t>ère</w:t>
            </w:r>
            <w:r w:rsidRPr="00FD5728">
              <w:rPr>
                <w:rFonts w:ascii="Calibri" w:hAnsi="Calibri" w:cs="Calibri"/>
                <w:i/>
                <w:color w:val="0070C0"/>
                <w:sz w:val="18"/>
                <w:szCs w:val="21"/>
              </w:rPr>
              <w:t xml:space="preserve"> région en nombre de fermes en </w:t>
            </w:r>
            <w:r w:rsidR="008443C6" w:rsidRPr="008443C6">
              <w:rPr>
                <w:rStyle w:val="hgkelc"/>
                <w:bCs/>
                <w:i/>
                <w:color w:val="0070C0"/>
                <w:sz w:val="18"/>
              </w:rPr>
              <w:t>Haute Valeur Environnementale</w:t>
            </w:r>
            <w:r w:rsidR="008443C6" w:rsidRPr="008443C6">
              <w:rPr>
                <w:rStyle w:val="hgkelc"/>
                <w:bCs/>
                <w:i/>
                <w:color w:val="0070C0"/>
                <w:sz w:val="18"/>
              </w:rPr>
              <w:t xml:space="preserve"> (</w:t>
            </w:r>
            <w:r w:rsidRPr="008443C6">
              <w:rPr>
                <w:rFonts w:ascii="Calibri" w:hAnsi="Calibri" w:cs="Calibri"/>
                <w:i/>
                <w:color w:val="0070C0"/>
                <w:sz w:val="18"/>
                <w:szCs w:val="21"/>
              </w:rPr>
              <w:t>HVE</w:t>
            </w:r>
            <w:r w:rsidR="008443C6" w:rsidRPr="008443C6">
              <w:rPr>
                <w:rFonts w:ascii="Calibri" w:hAnsi="Calibri" w:cs="Calibri"/>
                <w:i/>
                <w:color w:val="0070C0"/>
                <w:sz w:val="18"/>
                <w:szCs w:val="21"/>
              </w:rPr>
              <w:t>)</w:t>
            </w:r>
            <w:r w:rsidRPr="008443C6">
              <w:rPr>
                <w:rFonts w:ascii="Calibri" w:hAnsi="Calibri" w:cs="Calibri"/>
                <w:i/>
                <w:color w:val="0070C0"/>
                <w:sz w:val="18"/>
                <w:szCs w:val="21"/>
              </w:rPr>
              <w:t>, ainsi</w:t>
            </w:r>
            <w:r w:rsidRPr="00FD5728">
              <w:rPr>
                <w:rFonts w:ascii="Calibri" w:hAnsi="Calibri" w:cs="Calibri"/>
                <w:i/>
                <w:color w:val="0070C0"/>
                <w:sz w:val="18"/>
                <w:szCs w:val="21"/>
              </w:rPr>
              <w:t xml:space="preserve"> qu’en agriculture biologique. </w:t>
            </w:r>
            <w:r w:rsidR="00533FC3" w:rsidRPr="00FD5728">
              <w:rPr>
                <w:rFonts w:ascii="Calibri" w:hAnsi="Calibri" w:cs="Calibri"/>
                <w:i/>
                <w:color w:val="0070C0"/>
                <w:sz w:val="18"/>
                <w:szCs w:val="21"/>
              </w:rPr>
              <w:t>En 2021, les</w:t>
            </w:r>
            <w:r w:rsidRPr="00FD5728">
              <w:rPr>
                <w:rFonts w:ascii="Calibri" w:hAnsi="Calibri" w:cs="Calibri"/>
                <w:i/>
                <w:color w:val="0070C0"/>
                <w:sz w:val="18"/>
                <w:szCs w:val="21"/>
              </w:rPr>
              <w:t xml:space="preserve"> mesures agro-e</w:t>
            </w:r>
            <w:r w:rsidR="00533FC3" w:rsidRPr="00FD5728">
              <w:rPr>
                <w:rFonts w:ascii="Calibri" w:hAnsi="Calibri" w:cs="Calibri"/>
                <w:i/>
                <w:color w:val="0070C0"/>
                <w:sz w:val="18"/>
                <w:szCs w:val="21"/>
              </w:rPr>
              <w:t>nvironnementales et climatiques, l’agriculture biologique et la modernisation des exploitations agricoles représentent respectivement en Occitanie 5, 13 et 5 % des aides du second pilier de la PAC. Le plan de relance a complété cet appui financier aux exploitations agricoles que ce soit sur les agroéquipements (plus de 2300 dossiers financés en 2021) ou la plantation de haie</w:t>
            </w:r>
            <w:r w:rsidR="00B14970" w:rsidRPr="00FD5728">
              <w:rPr>
                <w:rFonts w:ascii="Calibri" w:hAnsi="Calibri" w:cs="Calibri"/>
                <w:i/>
                <w:color w:val="0070C0"/>
                <w:sz w:val="18"/>
                <w:szCs w:val="21"/>
              </w:rPr>
              <w:t xml:space="preserve"> (230 km financés en 2021)</w:t>
            </w:r>
            <w:r w:rsidR="00533FC3" w:rsidRPr="00FD5728">
              <w:rPr>
                <w:rFonts w:ascii="Calibri" w:hAnsi="Calibri" w:cs="Calibri"/>
                <w:i/>
                <w:color w:val="0070C0"/>
                <w:sz w:val="18"/>
                <w:szCs w:val="21"/>
              </w:rPr>
              <w:t xml:space="preserve">. </w:t>
            </w:r>
          </w:p>
          <w:p w:rsidR="00462998" w:rsidRPr="00113AC0" w:rsidRDefault="00B14970" w:rsidP="008443C6">
            <w:pPr>
              <w:jc w:val="both"/>
              <w:rPr>
                <w:rFonts w:ascii="Calibri" w:hAnsi="Calibri" w:cs="Calibri"/>
                <w:b/>
                <w:i/>
                <w:sz w:val="21"/>
                <w:szCs w:val="21"/>
              </w:rPr>
            </w:pPr>
            <w:r w:rsidRPr="00FD5728">
              <w:rPr>
                <w:rFonts w:ascii="Calibri" w:hAnsi="Calibri" w:cs="Calibri"/>
                <w:i/>
                <w:color w:val="0070C0"/>
                <w:sz w:val="18"/>
                <w:szCs w:val="21"/>
              </w:rPr>
              <w:t xml:space="preserve">Au-delà de ce levier financier, l’accompagnement </w:t>
            </w:r>
            <w:r w:rsidR="00156ADE" w:rsidRPr="00FD5728">
              <w:rPr>
                <w:rFonts w:ascii="Calibri" w:hAnsi="Calibri" w:cs="Calibri"/>
                <w:i/>
                <w:color w:val="0070C0"/>
                <w:sz w:val="18"/>
                <w:szCs w:val="21"/>
              </w:rPr>
              <w:t xml:space="preserve">des agriculteurs </w:t>
            </w:r>
            <w:r w:rsidRPr="00FD5728">
              <w:rPr>
                <w:rFonts w:ascii="Calibri" w:hAnsi="Calibri" w:cs="Calibri"/>
                <w:i/>
                <w:color w:val="0070C0"/>
                <w:sz w:val="18"/>
                <w:szCs w:val="21"/>
              </w:rPr>
              <w:t>reste une clef. L</w:t>
            </w:r>
            <w:r w:rsidR="00C119BD" w:rsidRPr="00FD5728">
              <w:rPr>
                <w:rFonts w:ascii="Calibri" w:hAnsi="Calibri" w:cs="Calibri"/>
                <w:i/>
                <w:color w:val="0070C0"/>
                <w:sz w:val="18"/>
                <w:szCs w:val="21"/>
              </w:rPr>
              <w:t xml:space="preserve">e plan régional de transfert 2022/2026 vise à amplifier l’essaimage des pratiques agro-écologiques développées par les collectifs </w:t>
            </w:r>
            <w:r w:rsidR="008443C6">
              <w:rPr>
                <w:rFonts w:ascii="Calibri" w:hAnsi="Calibri" w:cs="Calibri"/>
                <w:i/>
                <w:color w:val="0070C0"/>
                <w:sz w:val="18"/>
                <w:szCs w:val="21"/>
              </w:rPr>
              <w:t>dédiés</w:t>
            </w:r>
            <w:bookmarkStart w:id="0" w:name="_GoBack"/>
            <w:bookmarkEnd w:id="0"/>
            <w:r w:rsidR="00C119BD" w:rsidRPr="00FD5728">
              <w:rPr>
                <w:rFonts w:ascii="Calibri" w:hAnsi="Calibri" w:cs="Calibri"/>
                <w:i/>
                <w:color w:val="0070C0"/>
                <w:sz w:val="18"/>
                <w:szCs w:val="21"/>
              </w:rPr>
              <w:t>.</w:t>
            </w:r>
          </w:p>
        </w:tc>
      </w:tr>
    </w:tbl>
    <w:p w:rsidR="00330F8C" w:rsidRPr="00093D09" w:rsidRDefault="00330F8C" w:rsidP="00093D09">
      <w:pPr>
        <w:spacing w:after="0"/>
        <w:rPr>
          <w:sz w:val="6"/>
          <w:szCs w:val="16"/>
        </w:rPr>
      </w:pPr>
    </w:p>
    <w:tbl>
      <w:tblPr>
        <w:tblStyle w:val="Grilledutableau"/>
        <w:tblW w:w="0" w:type="auto"/>
        <w:tblLook w:val="04A0" w:firstRow="1" w:lastRow="0" w:firstColumn="1" w:lastColumn="0" w:noHBand="0" w:noVBand="1"/>
      </w:tblPr>
      <w:tblGrid>
        <w:gridCol w:w="9062"/>
      </w:tblGrid>
      <w:tr w:rsidR="00330F8C">
        <w:tc>
          <w:tcPr>
            <w:tcW w:w="9062" w:type="dxa"/>
            <w:shd w:val="clear" w:color="auto" w:fill="F2F2F2" w:themeFill="background1" w:themeFillShade="F2"/>
          </w:tcPr>
          <w:p w:rsidR="00330F8C" w:rsidRDefault="00073602">
            <w:pPr>
              <w:shd w:val="clear" w:color="auto" w:fill="F2F2F2" w:themeFill="background1" w:themeFillShade="F2"/>
              <w:rPr>
                <w:rFonts w:ascii="Calibri" w:hAnsi="Calibri" w:cs="Calibri"/>
                <w:i/>
                <w:sz w:val="21"/>
                <w:szCs w:val="21"/>
              </w:rPr>
            </w:pPr>
            <w:r>
              <w:rPr>
                <w:rFonts w:ascii="Calibri" w:hAnsi="Calibri" w:cs="Calibri"/>
                <w:b/>
                <w:sz w:val="21"/>
                <w:szCs w:val="21"/>
              </w:rPr>
              <w:t xml:space="preserve">3. Prospective et hypothèses d’évolution </w:t>
            </w:r>
          </w:p>
          <w:p w:rsidR="00330F8C" w:rsidRDefault="00073602">
            <w:pPr>
              <w:jc w:val="both"/>
              <w:rPr>
                <w:rFonts w:ascii="Calibri" w:hAnsi="Calibri" w:cs="Calibri"/>
                <w:sz w:val="21"/>
                <w:szCs w:val="21"/>
              </w:rPr>
            </w:pPr>
            <w:r w:rsidRPr="00AE26DE">
              <w:rPr>
                <w:rFonts w:ascii="Calibri" w:eastAsia="arialmt" w:hAnsi="Calibri" w:cs="Calibri"/>
                <w:sz w:val="20"/>
                <w:szCs w:val="21"/>
              </w:rPr>
              <w:t>Si les perspectives de retrait du marché des substances actives les plus dangereuses sont encourageantes, l</w:t>
            </w:r>
            <w:r w:rsidRPr="00AE26DE">
              <w:rPr>
                <w:rFonts w:ascii="Calibri" w:eastAsia="arialmt" w:hAnsi="Calibri" w:cs="Calibri"/>
                <w:sz w:val="20"/>
                <w:szCs w:val="21"/>
                <w:u w:val="single"/>
              </w:rPr>
              <w:t>’augmentation des « impasses phytosanitaires » constitue une préoccupation majeure.</w:t>
            </w:r>
            <w:r w:rsidRPr="00AE26DE">
              <w:rPr>
                <w:rFonts w:ascii="Calibri" w:eastAsia="arialmt" w:hAnsi="Calibri" w:cs="Calibri"/>
                <w:sz w:val="20"/>
                <w:szCs w:val="21"/>
              </w:rPr>
              <w:t xml:space="preserve"> Les efforts en matière de </w:t>
            </w:r>
            <w:r w:rsidRPr="00AE26DE">
              <w:rPr>
                <w:rFonts w:ascii="Calibri" w:eastAsia="arialmt" w:hAnsi="Calibri" w:cs="Calibri"/>
                <w:sz w:val="20"/>
                <w:szCs w:val="21"/>
                <w:u w:val="single"/>
              </w:rPr>
              <w:t>recherche et d’innovation</w:t>
            </w:r>
            <w:r w:rsidRPr="00AE26DE">
              <w:rPr>
                <w:rFonts w:ascii="Calibri" w:eastAsia="arialmt" w:hAnsi="Calibri" w:cs="Calibri"/>
                <w:sz w:val="20"/>
                <w:szCs w:val="21"/>
              </w:rPr>
              <w:t xml:space="preserve">, le </w:t>
            </w:r>
            <w:r w:rsidRPr="00AE26DE">
              <w:rPr>
                <w:rFonts w:ascii="Calibri" w:eastAsia="arialmt" w:hAnsi="Calibri" w:cs="Calibri"/>
                <w:sz w:val="20"/>
                <w:szCs w:val="21"/>
                <w:u w:val="single"/>
              </w:rPr>
              <w:t>développement du conseil agricole indépendant</w:t>
            </w:r>
            <w:r w:rsidRPr="00AE26DE">
              <w:rPr>
                <w:rFonts w:ascii="Calibri" w:eastAsia="arialmt" w:hAnsi="Calibri" w:cs="Calibri"/>
                <w:sz w:val="20"/>
                <w:szCs w:val="21"/>
              </w:rPr>
              <w:t xml:space="preserve"> (réforme SVC), </w:t>
            </w:r>
            <w:r w:rsidRPr="00AE26DE">
              <w:rPr>
                <w:rFonts w:ascii="Calibri" w:eastAsia="arialmt" w:hAnsi="Calibri" w:cs="Calibri"/>
                <w:sz w:val="20"/>
                <w:szCs w:val="21"/>
                <w:u w:val="single"/>
              </w:rPr>
              <w:t xml:space="preserve">le déploiement de méthodes alternatives </w:t>
            </w:r>
            <w:r w:rsidRPr="00AE26DE">
              <w:rPr>
                <w:rFonts w:ascii="Calibri" w:eastAsia="arialmt" w:hAnsi="Calibri" w:cs="Calibri"/>
                <w:sz w:val="20"/>
                <w:szCs w:val="21"/>
              </w:rPr>
              <w:t xml:space="preserve">aux PPP et notamment du biocontrôle, devraient être renforcés au regard des fortes attentes. </w:t>
            </w:r>
            <w:r w:rsidRPr="00AE26DE">
              <w:rPr>
                <w:rFonts w:ascii="Calibri" w:eastAsia="arialmt" w:hAnsi="Calibri" w:cs="Calibri"/>
                <w:sz w:val="20"/>
                <w:szCs w:val="21"/>
                <w:u w:val="single"/>
              </w:rPr>
              <w:t>L’appui aux nouvelles technologies</w:t>
            </w:r>
            <w:r w:rsidRPr="00AE26DE">
              <w:rPr>
                <w:rFonts w:ascii="Calibri" w:eastAsia="arialmt" w:hAnsi="Calibri" w:cs="Calibri"/>
                <w:sz w:val="20"/>
                <w:szCs w:val="21"/>
              </w:rPr>
              <w:t xml:space="preserve"> (outils d’aide à la décision, robotique, agroéquipements, semences, etc.) constitue un levier d’accélération pour accompagner la transition vers une moindre utilisation des PPP, via des soutiens importants de France Relance et de France 2030. Après une première expérimentation achevée en 2021, l’usage des drônes pourrait être autorisé par la LOAA, sous certaines conditions.  </w:t>
            </w:r>
            <w:r w:rsidRPr="00AE26DE">
              <w:rPr>
                <w:rFonts w:ascii="Calibri" w:eastAsia="arialmt" w:hAnsi="Calibri" w:cs="Calibri"/>
                <w:sz w:val="20"/>
                <w:szCs w:val="21"/>
                <w:u w:val="single"/>
              </w:rPr>
              <w:t>Une nouvelle stratégie globale de réduction du risque lié à l’utilisation des PPP doit être établie.</w:t>
            </w:r>
            <w:r w:rsidRPr="00AE26DE">
              <w:rPr>
                <w:rFonts w:ascii="Calibri" w:eastAsia="arialmt" w:hAnsi="Calibri" w:cs="Calibri"/>
                <w:sz w:val="20"/>
                <w:szCs w:val="21"/>
              </w:rPr>
              <w:t xml:space="preserve"> L</w:t>
            </w:r>
            <w:r w:rsidRPr="00AE26DE">
              <w:rPr>
                <w:rFonts w:ascii="Calibri" w:eastAsia="arialmt" w:hAnsi="Calibri" w:cs="Calibri"/>
                <w:sz w:val="20"/>
                <w:szCs w:val="21"/>
                <w:u w:val="single"/>
              </w:rPr>
              <w:t>’encadrement des conditions d’utilisation des PPP doit à ce titre être poursuivi</w:t>
            </w:r>
            <w:r w:rsidRPr="00AE26DE">
              <w:rPr>
                <w:rFonts w:ascii="Calibri" w:eastAsia="arialmt" w:hAnsi="Calibri" w:cs="Calibri"/>
                <w:sz w:val="20"/>
                <w:szCs w:val="21"/>
              </w:rPr>
              <w:t xml:space="preserve"> notamment au regard des attentes sociétales (métabolites dans l’eau, pollinisateurs). Ces travaux ont vocation à s’inscrire dans le contexte européen de la négociation du </w:t>
            </w:r>
            <w:r w:rsidRPr="00AE26DE">
              <w:rPr>
                <w:rFonts w:ascii="Calibri" w:eastAsia="arialmt" w:hAnsi="Calibri" w:cs="Calibri"/>
                <w:sz w:val="20"/>
                <w:szCs w:val="21"/>
                <w:u w:val="single"/>
              </w:rPr>
              <w:t>projet de règlement « SUR »</w:t>
            </w:r>
            <w:r w:rsidRPr="00AE26DE">
              <w:rPr>
                <w:rFonts w:ascii="Calibri" w:eastAsia="arialmt" w:hAnsi="Calibri" w:cs="Calibri"/>
                <w:sz w:val="20"/>
                <w:szCs w:val="21"/>
              </w:rPr>
              <w:t xml:space="preserve">, mais également au regard des réflexions à conduire en 2023 sur les suites à donner à Ecophyto II+ . Par ailleurs, il s’agit de s’attacher à fixer </w:t>
            </w:r>
            <w:r w:rsidRPr="00AE26DE">
              <w:rPr>
                <w:rFonts w:ascii="Calibri" w:eastAsia="arialmt" w:hAnsi="Calibri" w:cs="Calibri"/>
                <w:sz w:val="20"/>
                <w:szCs w:val="21"/>
                <w:u w:val="single"/>
              </w:rPr>
              <w:t>un niveau de contrainte harmonisé assurant une concurrence homogène au sein de l’UE, mais également à l’égard des pays tiers</w:t>
            </w:r>
            <w:r w:rsidRPr="00AE26DE">
              <w:rPr>
                <w:rFonts w:ascii="Calibri" w:eastAsia="arialmt" w:hAnsi="Calibri" w:cs="Calibri"/>
                <w:sz w:val="20"/>
                <w:szCs w:val="21"/>
              </w:rPr>
              <w:t xml:space="preserve"> (clauses miroirs, abaissement de LMR pour les produits qui ne sont plus autorisés en Europe).</w:t>
            </w:r>
          </w:p>
        </w:tc>
      </w:tr>
    </w:tbl>
    <w:p w:rsidR="00330F8C" w:rsidRPr="00093D09" w:rsidRDefault="00330F8C" w:rsidP="00093D09">
      <w:pPr>
        <w:spacing w:after="0"/>
        <w:rPr>
          <w:sz w:val="10"/>
          <w:szCs w:val="16"/>
        </w:rPr>
      </w:pPr>
    </w:p>
    <w:tbl>
      <w:tblPr>
        <w:tblStyle w:val="Grilledutableau"/>
        <w:tblW w:w="0" w:type="auto"/>
        <w:tblLook w:val="04A0" w:firstRow="1" w:lastRow="0" w:firstColumn="1" w:lastColumn="0" w:noHBand="0" w:noVBand="1"/>
      </w:tblPr>
      <w:tblGrid>
        <w:gridCol w:w="9122"/>
      </w:tblGrid>
      <w:tr w:rsidR="00330F8C">
        <w:trPr>
          <w:trHeight w:val="3375"/>
        </w:trPr>
        <w:tc>
          <w:tcPr>
            <w:tcW w:w="9122" w:type="dxa"/>
            <w:shd w:val="clear" w:color="auto" w:fill="F2F2F2" w:themeFill="background1" w:themeFillShade="F2"/>
          </w:tcPr>
          <w:p w:rsidR="00330F8C" w:rsidRDefault="00073602">
            <w:pPr>
              <w:rPr>
                <w:rFonts w:ascii="Calibri" w:hAnsi="Calibri" w:cs="Calibri"/>
                <w:b/>
                <w:sz w:val="21"/>
                <w:szCs w:val="21"/>
              </w:rPr>
            </w:pPr>
            <w:r>
              <w:rPr>
                <w:rFonts w:ascii="Calibri" w:hAnsi="Calibri" w:cs="Calibri"/>
                <w:b/>
                <w:sz w:val="21"/>
                <w:szCs w:val="21"/>
              </w:rPr>
              <w:lastRenderedPageBreak/>
              <w:t>4. Références</w:t>
            </w:r>
          </w:p>
          <w:p w:rsidR="00330F8C" w:rsidRDefault="00073602">
            <w:pPr>
              <w:rPr>
                <w:rFonts w:ascii="Calibri" w:hAnsi="Calibri" w:cs="Calibri"/>
                <w:sz w:val="18"/>
                <w:szCs w:val="18"/>
              </w:rPr>
            </w:pPr>
            <w:r>
              <w:rPr>
                <w:rFonts w:ascii="Calibri" w:hAnsi="Calibri" w:cs="Calibri"/>
                <w:sz w:val="18"/>
                <w:szCs w:val="18"/>
              </w:rPr>
              <w:t>- Rapport CGAAER n° 17104 : Plan « Semences et plants pour une agriculture durable »</w:t>
            </w:r>
          </w:p>
          <w:p w:rsidR="00330F8C" w:rsidRDefault="00073602">
            <w:pPr>
              <w:jc w:val="both"/>
              <w:rPr>
                <w:rFonts w:ascii="Calibri" w:hAnsi="Calibri" w:cs="Calibri"/>
                <w:sz w:val="18"/>
                <w:szCs w:val="18"/>
              </w:rPr>
            </w:pPr>
            <w:r>
              <w:rPr>
                <w:rFonts w:ascii="Calibri" w:hAnsi="Calibri" w:cs="Calibri"/>
                <w:sz w:val="18"/>
                <w:szCs w:val="18"/>
              </w:rPr>
              <w:t>- Rapport du CGAAER n°17080 : Valoriser le dispositif de gestion des usages orphelins</w:t>
            </w:r>
          </w:p>
          <w:p w:rsidR="00330F8C" w:rsidRDefault="00073602">
            <w:pPr>
              <w:jc w:val="both"/>
              <w:rPr>
                <w:rFonts w:ascii="Calibri" w:hAnsi="Calibri" w:cs="Calibri"/>
                <w:sz w:val="18"/>
                <w:szCs w:val="18"/>
              </w:rPr>
            </w:pPr>
            <w:r>
              <w:rPr>
                <w:rFonts w:ascii="Calibri" w:hAnsi="Calibri" w:cs="Calibri"/>
                <w:sz w:val="18"/>
                <w:szCs w:val="18"/>
              </w:rPr>
              <w:t xml:space="preserve">- IPBES, 2019 : rapport de l’évaluation mondiale de la biodiversité et des services écosystémiques </w:t>
            </w:r>
          </w:p>
          <w:p w:rsidR="00330F8C" w:rsidRDefault="00073602">
            <w:pPr>
              <w:jc w:val="both"/>
              <w:rPr>
                <w:rFonts w:ascii="Calibri" w:hAnsi="Calibri" w:cs="Calibri"/>
                <w:sz w:val="18"/>
                <w:szCs w:val="18"/>
              </w:rPr>
            </w:pPr>
            <w:r>
              <w:rPr>
                <w:rFonts w:ascii="Calibri" w:hAnsi="Calibri" w:cs="Calibri"/>
                <w:sz w:val="18"/>
                <w:szCs w:val="18"/>
              </w:rPr>
              <w:t>- https://www.plateforme-sca.fr/point_sur/la-surveillance-des-mycotoxines-dans-les-aliments</w:t>
            </w:r>
          </w:p>
          <w:p w:rsidR="00330F8C" w:rsidRDefault="00073602">
            <w:pPr>
              <w:jc w:val="both"/>
              <w:rPr>
                <w:rFonts w:ascii="Calibri" w:hAnsi="Calibri" w:cs="Calibri"/>
                <w:sz w:val="18"/>
                <w:szCs w:val="18"/>
              </w:rPr>
            </w:pPr>
            <w:r>
              <w:rPr>
                <w:rFonts w:ascii="Calibri" w:hAnsi="Calibri" w:cs="Calibri"/>
                <w:b/>
                <w:sz w:val="18"/>
                <w:szCs w:val="18"/>
              </w:rPr>
              <w:t>-</w:t>
            </w:r>
            <w:r>
              <w:rPr>
                <w:rFonts w:ascii="Calibri" w:hAnsi="Calibri" w:cs="Calibri"/>
                <w:sz w:val="18"/>
                <w:szCs w:val="18"/>
              </w:rPr>
              <w:t xml:space="preserve"> ESCO </w:t>
            </w:r>
            <w:r>
              <w:rPr>
                <w:sz w:val="18"/>
                <w:szCs w:val="18"/>
              </w:rPr>
              <w:t>« Pesticides et effets sur la santé – Nouvelles données » (Inserm – juin 2021),</w:t>
            </w:r>
          </w:p>
          <w:p w:rsidR="00330F8C" w:rsidRDefault="00073602">
            <w:pPr>
              <w:jc w:val="both"/>
              <w:rPr>
                <w:rFonts w:ascii="Calibri" w:hAnsi="Calibri" w:cs="Calibri"/>
                <w:sz w:val="18"/>
                <w:szCs w:val="18"/>
              </w:rPr>
            </w:pPr>
            <w:r>
              <w:rPr>
                <w:rFonts w:ascii="Calibri" w:hAnsi="Calibri" w:cs="Calibri"/>
                <w:sz w:val="18"/>
                <w:szCs w:val="18"/>
              </w:rPr>
              <w:t xml:space="preserve">- ESCO </w:t>
            </w:r>
            <w:r>
              <w:rPr>
                <w:sz w:val="18"/>
                <w:szCs w:val="18"/>
              </w:rPr>
              <w:t>« Impact des produits phytopharmaceutiques sur la biodiversité et les services écosystémiques » (PestiEcotox) (INRAE – IFREMER – mai 2022)</w:t>
            </w:r>
          </w:p>
          <w:p w:rsidR="00330F8C" w:rsidRDefault="00073602">
            <w:pPr>
              <w:pStyle w:val="Commentaire"/>
              <w:jc w:val="both"/>
              <w:rPr>
                <w:rFonts w:ascii="Calibri" w:hAnsi="Calibri" w:cs="Calibri"/>
                <w:sz w:val="18"/>
                <w:szCs w:val="18"/>
              </w:rPr>
            </w:pPr>
            <w:r>
              <w:rPr>
                <w:rFonts w:ascii="Calibri" w:hAnsi="Calibri" w:cs="Calibri"/>
                <w:sz w:val="18"/>
                <w:szCs w:val="18"/>
              </w:rPr>
              <w:t xml:space="preserve">- </w:t>
            </w:r>
            <w:hyperlink r:id="rId10" w:tooltip="https://agriculture.gouv.fr/la-strategie-nationale-de-deploiement-du-biocontrole" w:history="1">
              <w:r>
                <w:rPr>
                  <w:rStyle w:val="Lienhypertexte"/>
                  <w:rFonts w:ascii="Calibri" w:hAnsi="Calibri" w:cs="Calibri"/>
                  <w:sz w:val="18"/>
                  <w:szCs w:val="18"/>
                </w:rPr>
                <w:t>https://agriculture.gouv.fr/la-strategie-nationale-de-deploiement-du-biocontrole</w:t>
              </w:r>
            </w:hyperlink>
            <w:r>
              <w:rPr>
                <w:rFonts w:ascii="Calibri" w:hAnsi="Calibri" w:cs="Calibri"/>
                <w:sz w:val="18"/>
                <w:szCs w:val="18"/>
              </w:rPr>
              <w:t xml:space="preserve"> </w:t>
            </w:r>
          </w:p>
          <w:p w:rsidR="00330F8C" w:rsidRDefault="00073602">
            <w:pPr>
              <w:pStyle w:val="Commentaire"/>
              <w:jc w:val="both"/>
              <w:rPr>
                <w:sz w:val="18"/>
                <w:szCs w:val="18"/>
              </w:rPr>
            </w:pPr>
            <w:r>
              <w:rPr>
                <w:rFonts w:ascii="Calibri" w:hAnsi="Calibri" w:cs="Calibri"/>
                <w:sz w:val="18"/>
                <w:szCs w:val="18"/>
              </w:rPr>
              <w:t xml:space="preserve">- </w:t>
            </w:r>
            <w:r>
              <w:rPr>
                <w:sz w:val="18"/>
                <w:szCs w:val="18"/>
              </w:rPr>
              <w:t xml:space="preserve">Loi d’avenir (n° 2014-1170), notamment L. 253-8 (pulvérisation aérienne de PPP), L. 253-7-1 (personnes vulnérables) et L 253-8-1 (phytopharmacovigilance). </w:t>
            </w:r>
          </w:p>
          <w:p w:rsidR="00330F8C" w:rsidRDefault="00073602">
            <w:pPr>
              <w:pStyle w:val="Commentaire"/>
              <w:jc w:val="both"/>
              <w:rPr>
                <w:sz w:val="18"/>
                <w:szCs w:val="18"/>
              </w:rPr>
            </w:pPr>
            <w:r>
              <w:rPr>
                <w:sz w:val="18"/>
                <w:szCs w:val="18"/>
              </w:rPr>
              <w:t>- Loi dite « Labbé » (n°2014-110)</w:t>
            </w:r>
          </w:p>
          <w:p w:rsidR="00330F8C" w:rsidRDefault="00073602">
            <w:pPr>
              <w:pStyle w:val="Commentaire"/>
              <w:jc w:val="both"/>
              <w:rPr>
                <w:sz w:val="18"/>
                <w:szCs w:val="18"/>
              </w:rPr>
            </w:pPr>
            <w:r>
              <w:rPr>
                <w:sz w:val="18"/>
                <w:szCs w:val="18"/>
              </w:rPr>
              <w:t xml:space="preserve">- loi pour la reconquête de la biodiversité (n°2016-1087), loi n°2018-938 et loi n°2020-1578 pour l’interdiction des substances de la famille des néonicotinoïdes </w:t>
            </w:r>
          </w:p>
          <w:p w:rsidR="00330F8C" w:rsidRDefault="00073602">
            <w:pPr>
              <w:pStyle w:val="Commentaire"/>
              <w:jc w:val="both"/>
              <w:rPr>
                <w:sz w:val="18"/>
                <w:szCs w:val="18"/>
              </w:rPr>
            </w:pPr>
            <w:r>
              <w:rPr>
                <w:rFonts w:ascii="Calibri" w:hAnsi="Calibri" w:cs="Calibri"/>
                <w:sz w:val="18"/>
                <w:szCs w:val="18"/>
              </w:rPr>
              <w:t xml:space="preserve">- Loi </w:t>
            </w:r>
            <w:r>
              <w:rPr>
                <w:sz w:val="18"/>
                <w:szCs w:val="18"/>
              </w:rPr>
              <w:t xml:space="preserve">EGAlim (n°2018-938) </w:t>
            </w:r>
          </w:p>
          <w:p w:rsidR="00330F8C" w:rsidRDefault="00073602">
            <w:pPr>
              <w:pStyle w:val="Commentaire"/>
              <w:jc w:val="both"/>
            </w:pPr>
            <w:r>
              <w:rPr>
                <w:sz w:val="18"/>
                <w:szCs w:val="18"/>
              </w:rPr>
              <w:t>-</w:t>
            </w:r>
            <w:hyperlink r:id="rId11" w:tooltip="https://agriculture.gouv.fr/nouvelles-dispositions-reglementaires-pour-la-protection-des-abeilles-et-des-insectes" w:history="1">
              <w:r>
                <w:rPr>
                  <w:rStyle w:val="Lienhypertexte"/>
                  <w:sz w:val="18"/>
                  <w:szCs w:val="18"/>
                </w:rPr>
                <w:t>https://agriculture.gouv.fr/nouvelles-dispositions-reglementaires-pour-la-protection-des-abeilles-et-des-insectes</w:t>
              </w:r>
            </w:hyperlink>
          </w:p>
        </w:tc>
      </w:tr>
    </w:tbl>
    <w:p w:rsidR="00330F8C" w:rsidRDefault="00330F8C">
      <w:pPr>
        <w:rPr>
          <w:rFonts w:ascii="Calibri" w:hAnsi="Calibri" w:cs="Calibri"/>
        </w:rPr>
      </w:pPr>
    </w:p>
    <w:sectPr w:rsidR="00330F8C">
      <w:pgSz w:w="11906" w:h="16838"/>
      <w:pgMar w:top="1247" w:right="1247" w:bottom="1247" w:left="124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8C" w:rsidRDefault="00073602">
      <w:pPr>
        <w:spacing w:after="0" w:line="240" w:lineRule="auto"/>
      </w:pPr>
      <w:r>
        <w:separator/>
      </w:r>
    </w:p>
  </w:endnote>
  <w:endnote w:type="continuationSeparator" w:id="0">
    <w:p w:rsidR="00330F8C" w:rsidRDefault="0007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auto"/>
    <w:pitch w:val="default"/>
  </w:font>
  <w:font w:name="arialm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8C" w:rsidRDefault="00073602">
      <w:pPr>
        <w:spacing w:after="0" w:line="240" w:lineRule="auto"/>
      </w:pPr>
      <w:r>
        <w:separator/>
      </w:r>
    </w:p>
  </w:footnote>
  <w:footnote w:type="continuationSeparator" w:id="0">
    <w:p w:rsidR="00330F8C" w:rsidRDefault="00073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A5C"/>
    <w:multiLevelType w:val="hybridMultilevel"/>
    <w:tmpl w:val="588ECD40"/>
    <w:lvl w:ilvl="0" w:tplc="91AAA6BE">
      <w:start w:val="1"/>
      <w:numFmt w:val="upperRoman"/>
      <w:lvlText w:val="%1."/>
      <w:lvlJc w:val="left"/>
      <w:pPr>
        <w:ind w:left="1080" w:hanging="720"/>
      </w:pPr>
      <w:rPr>
        <w:rFonts w:hint="default"/>
      </w:rPr>
    </w:lvl>
    <w:lvl w:ilvl="1" w:tplc="48600880">
      <w:start w:val="1"/>
      <w:numFmt w:val="lowerLetter"/>
      <w:lvlText w:val="%2."/>
      <w:lvlJc w:val="left"/>
      <w:pPr>
        <w:ind w:left="1440" w:hanging="360"/>
      </w:pPr>
    </w:lvl>
    <w:lvl w:ilvl="2" w:tplc="7A044FE6">
      <w:start w:val="1"/>
      <w:numFmt w:val="lowerRoman"/>
      <w:lvlText w:val="%3."/>
      <w:lvlJc w:val="right"/>
      <w:pPr>
        <w:ind w:left="2160" w:hanging="180"/>
      </w:pPr>
    </w:lvl>
    <w:lvl w:ilvl="3" w:tplc="85D26C86">
      <w:start w:val="1"/>
      <w:numFmt w:val="decimal"/>
      <w:lvlText w:val="%4."/>
      <w:lvlJc w:val="left"/>
      <w:pPr>
        <w:ind w:left="2880" w:hanging="360"/>
      </w:pPr>
    </w:lvl>
    <w:lvl w:ilvl="4" w:tplc="AB127094">
      <w:start w:val="1"/>
      <w:numFmt w:val="lowerLetter"/>
      <w:lvlText w:val="%5."/>
      <w:lvlJc w:val="left"/>
      <w:pPr>
        <w:ind w:left="3600" w:hanging="360"/>
      </w:pPr>
    </w:lvl>
    <w:lvl w:ilvl="5" w:tplc="441E9F56">
      <w:start w:val="1"/>
      <w:numFmt w:val="lowerRoman"/>
      <w:lvlText w:val="%6."/>
      <w:lvlJc w:val="right"/>
      <w:pPr>
        <w:ind w:left="4320" w:hanging="180"/>
      </w:pPr>
    </w:lvl>
    <w:lvl w:ilvl="6" w:tplc="2A78C4DA">
      <w:start w:val="1"/>
      <w:numFmt w:val="decimal"/>
      <w:lvlText w:val="%7."/>
      <w:lvlJc w:val="left"/>
      <w:pPr>
        <w:ind w:left="5040" w:hanging="360"/>
      </w:pPr>
    </w:lvl>
    <w:lvl w:ilvl="7" w:tplc="5EDECC5C">
      <w:start w:val="1"/>
      <w:numFmt w:val="lowerLetter"/>
      <w:lvlText w:val="%8."/>
      <w:lvlJc w:val="left"/>
      <w:pPr>
        <w:ind w:left="5760" w:hanging="360"/>
      </w:pPr>
    </w:lvl>
    <w:lvl w:ilvl="8" w:tplc="5994EF68">
      <w:start w:val="1"/>
      <w:numFmt w:val="lowerRoman"/>
      <w:lvlText w:val="%9."/>
      <w:lvlJc w:val="right"/>
      <w:pPr>
        <w:ind w:left="6480" w:hanging="180"/>
      </w:pPr>
    </w:lvl>
  </w:abstractNum>
  <w:abstractNum w:abstractNumId="1" w15:restartNumberingAfterBreak="0">
    <w:nsid w:val="064C4856"/>
    <w:multiLevelType w:val="hybridMultilevel"/>
    <w:tmpl w:val="79E02932"/>
    <w:lvl w:ilvl="0" w:tplc="CEC054F2">
      <w:start w:val="1"/>
      <w:numFmt w:val="decimal"/>
      <w:lvlText w:val="%1."/>
      <w:lvlJc w:val="left"/>
      <w:pPr>
        <w:ind w:left="1080" w:hanging="360"/>
      </w:pPr>
    </w:lvl>
    <w:lvl w:ilvl="1" w:tplc="1AC68EAC">
      <w:start w:val="1"/>
      <w:numFmt w:val="lowerLetter"/>
      <w:lvlText w:val="%2."/>
      <w:lvlJc w:val="left"/>
      <w:pPr>
        <w:ind w:left="1800" w:hanging="360"/>
      </w:pPr>
    </w:lvl>
    <w:lvl w:ilvl="2" w:tplc="07F47090">
      <w:start w:val="1"/>
      <w:numFmt w:val="lowerRoman"/>
      <w:lvlText w:val="%3."/>
      <w:lvlJc w:val="right"/>
      <w:pPr>
        <w:ind w:left="2520" w:hanging="180"/>
      </w:pPr>
    </w:lvl>
    <w:lvl w:ilvl="3" w:tplc="AD9235FE">
      <w:start w:val="1"/>
      <w:numFmt w:val="decimal"/>
      <w:lvlText w:val="%4."/>
      <w:lvlJc w:val="left"/>
      <w:pPr>
        <w:ind w:left="3240" w:hanging="360"/>
      </w:pPr>
    </w:lvl>
    <w:lvl w:ilvl="4" w:tplc="A22865CC">
      <w:start w:val="1"/>
      <w:numFmt w:val="lowerLetter"/>
      <w:lvlText w:val="%5."/>
      <w:lvlJc w:val="left"/>
      <w:pPr>
        <w:ind w:left="3960" w:hanging="360"/>
      </w:pPr>
    </w:lvl>
    <w:lvl w:ilvl="5" w:tplc="B7BC3F54">
      <w:start w:val="1"/>
      <w:numFmt w:val="lowerRoman"/>
      <w:lvlText w:val="%6."/>
      <w:lvlJc w:val="right"/>
      <w:pPr>
        <w:ind w:left="4680" w:hanging="180"/>
      </w:pPr>
    </w:lvl>
    <w:lvl w:ilvl="6" w:tplc="F438AF14">
      <w:start w:val="1"/>
      <w:numFmt w:val="decimal"/>
      <w:lvlText w:val="%7."/>
      <w:lvlJc w:val="left"/>
      <w:pPr>
        <w:ind w:left="5400" w:hanging="360"/>
      </w:pPr>
    </w:lvl>
    <w:lvl w:ilvl="7" w:tplc="3A9CEB68">
      <w:start w:val="1"/>
      <w:numFmt w:val="lowerLetter"/>
      <w:lvlText w:val="%8."/>
      <w:lvlJc w:val="left"/>
      <w:pPr>
        <w:ind w:left="6120" w:hanging="360"/>
      </w:pPr>
    </w:lvl>
    <w:lvl w:ilvl="8" w:tplc="BB70385A">
      <w:start w:val="1"/>
      <w:numFmt w:val="lowerRoman"/>
      <w:lvlText w:val="%9."/>
      <w:lvlJc w:val="right"/>
      <w:pPr>
        <w:ind w:left="6840" w:hanging="180"/>
      </w:pPr>
    </w:lvl>
  </w:abstractNum>
  <w:abstractNum w:abstractNumId="2" w15:restartNumberingAfterBreak="0">
    <w:nsid w:val="1AD334D5"/>
    <w:multiLevelType w:val="hybridMultilevel"/>
    <w:tmpl w:val="32BEEA5E"/>
    <w:lvl w:ilvl="0" w:tplc="BCA8FA80">
      <w:start w:val="1"/>
      <w:numFmt w:val="bullet"/>
      <w:lvlText w:val=""/>
      <w:lvlJc w:val="left"/>
      <w:pPr>
        <w:ind w:left="720" w:hanging="360"/>
      </w:pPr>
      <w:rPr>
        <w:rFonts w:ascii="Symbol" w:hAnsi="Symbol" w:hint="default"/>
      </w:rPr>
    </w:lvl>
    <w:lvl w:ilvl="1" w:tplc="A224D65C">
      <w:start w:val="1"/>
      <w:numFmt w:val="bullet"/>
      <w:lvlText w:val="o"/>
      <w:lvlJc w:val="left"/>
      <w:pPr>
        <w:ind w:left="1440" w:hanging="360"/>
      </w:pPr>
      <w:rPr>
        <w:rFonts w:ascii="Courier New" w:hAnsi="Courier New" w:cs="Courier New" w:hint="default"/>
      </w:rPr>
    </w:lvl>
    <w:lvl w:ilvl="2" w:tplc="2EC49116">
      <w:start w:val="1"/>
      <w:numFmt w:val="bullet"/>
      <w:lvlText w:val=""/>
      <w:lvlJc w:val="left"/>
      <w:pPr>
        <w:ind w:left="2160" w:hanging="360"/>
      </w:pPr>
      <w:rPr>
        <w:rFonts w:ascii="Wingdings" w:hAnsi="Wingdings" w:hint="default"/>
      </w:rPr>
    </w:lvl>
    <w:lvl w:ilvl="3" w:tplc="71924C96">
      <w:start w:val="1"/>
      <w:numFmt w:val="bullet"/>
      <w:lvlText w:val=""/>
      <w:lvlJc w:val="left"/>
      <w:pPr>
        <w:ind w:left="2880" w:hanging="360"/>
      </w:pPr>
      <w:rPr>
        <w:rFonts w:ascii="Symbol" w:hAnsi="Symbol" w:hint="default"/>
      </w:rPr>
    </w:lvl>
    <w:lvl w:ilvl="4" w:tplc="8C8EC8A0">
      <w:start w:val="1"/>
      <w:numFmt w:val="bullet"/>
      <w:lvlText w:val="o"/>
      <w:lvlJc w:val="left"/>
      <w:pPr>
        <w:ind w:left="3600" w:hanging="360"/>
      </w:pPr>
      <w:rPr>
        <w:rFonts w:ascii="Courier New" w:hAnsi="Courier New" w:cs="Courier New" w:hint="default"/>
      </w:rPr>
    </w:lvl>
    <w:lvl w:ilvl="5" w:tplc="5FE677CC">
      <w:start w:val="1"/>
      <w:numFmt w:val="bullet"/>
      <w:lvlText w:val=""/>
      <w:lvlJc w:val="left"/>
      <w:pPr>
        <w:ind w:left="4320" w:hanging="360"/>
      </w:pPr>
      <w:rPr>
        <w:rFonts w:ascii="Wingdings" w:hAnsi="Wingdings" w:hint="default"/>
      </w:rPr>
    </w:lvl>
    <w:lvl w:ilvl="6" w:tplc="29C866BE">
      <w:start w:val="1"/>
      <w:numFmt w:val="bullet"/>
      <w:lvlText w:val=""/>
      <w:lvlJc w:val="left"/>
      <w:pPr>
        <w:ind w:left="5040" w:hanging="360"/>
      </w:pPr>
      <w:rPr>
        <w:rFonts w:ascii="Symbol" w:hAnsi="Symbol" w:hint="default"/>
      </w:rPr>
    </w:lvl>
    <w:lvl w:ilvl="7" w:tplc="272895BE">
      <w:start w:val="1"/>
      <w:numFmt w:val="bullet"/>
      <w:lvlText w:val="o"/>
      <w:lvlJc w:val="left"/>
      <w:pPr>
        <w:ind w:left="5760" w:hanging="360"/>
      </w:pPr>
      <w:rPr>
        <w:rFonts w:ascii="Courier New" w:hAnsi="Courier New" w:cs="Courier New" w:hint="default"/>
      </w:rPr>
    </w:lvl>
    <w:lvl w:ilvl="8" w:tplc="0E6EFF1C">
      <w:start w:val="1"/>
      <w:numFmt w:val="bullet"/>
      <w:lvlText w:val=""/>
      <w:lvlJc w:val="left"/>
      <w:pPr>
        <w:ind w:left="6480" w:hanging="360"/>
      </w:pPr>
      <w:rPr>
        <w:rFonts w:ascii="Wingdings" w:hAnsi="Wingdings" w:hint="default"/>
      </w:rPr>
    </w:lvl>
  </w:abstractNum>
  <w:abstractNum w:abstractNumId="3" w15:restartNumberingAfterBreak="0">
    <w:nsid w:val="371D2482"/>
    <w:multiLevelType w:val="hybridMultilevel"/>
    <w:tmpl w:val="7D908DA0"/>
    <w:lvl w:ilvl="0" w:tplc="BC62A88C">
      <w:start w:val="1"/>
      <w:numFmt w:val="upperRoman"/>
      <w:lvlText w:val="%1."/>
      <w:lvlJc w:val="left"/>
      <w:pPr>
        <w:ind w:left="1080" w:hanging="720"/>
      </w:pPr>
      <w:rPr>
        <w:rFonts w:hint="default"/>
      </w:rPr>
    </w:lvl>
    <w:lvl w:ilvl="1" w:tplc="A7D4EB64">
      <w:start w:val="1"/>
      <w:numFmt w:val="lowerLetter"/>
      <w:lvlText w:val="%2."/>
      <w:lvlJc w:val="left"/>
      <w:pPr>
        <w:ind w:left="1440" w:hanging="360"/>
      </w:pPr>
    </w:lvl>
    <w:lvl w:ilvl="2" w:tplc="EDDCBAB6">
      <w:start w:val="1"/>
      <w:numFmt w:val="lowerRoman"/>
      <w:lvlText w:val="%3."/>
      <w:lvlJc w:val="right"/>
      <w:pPr>
        <w:ind w:left="2160" w:hanging="180"/>
      </w:pPr>
    </w:lvl>
    <w:lvl w:ilvl="3" w:tplc="6EE24F3E">
      <w:start w:val="1"/>
      <w:numFmt w:val="decimal"/>
      <w:lvlText w:val="%4."/>
      <w:lvlJc w:val="left"/>
      <w:pPr>
        <w:ind w:left="2880" w:hanging="360"/>
      </w:pPr>
    </w:lvl>
    <w:lvl w:ilvl="4" w:tplc="7282513A">
      <w:start w:val="1"/>
      <w:numFmt w:val="lowerLetter"/>
      <w:lvlText w:val="%5."/>
      <w:lvlJc w:val="left"/>
      <w:pPr>
        <w:ind w:left="3600" w:hanging="360"/>
      </w:pPr>
    </w:lvl>
    <w:lvl w:ilvl="5" w:tplc="A9A228D0">
      <w:start w:val="1"/>
      <w:numFmt w:val="lowerRoman"/>
      <w:lvlText w:val="%6."/>
      <w:lvlJc w:val="right"/>
      <w:pPr>
        <w:ind w:left="4320" w:hanging="180"/>
      </w:pPr>
    </w:lvl>
    <w:lvl w:ilvl="6" w:tplc="04FA61D0">
      <w:start w:val="1"/>
      <w:numFmt w:val="decimal"/>
      <w:lvlText w:val="%7."/>
      <w:lvlJc w:val="left"/>
      <w:pPr>
        <w:ind w:left="5040" w:hanging="360"/>
      </w:pPr>
    </w:lvl>
    <w:lvl w:ilvl="7" w:tplc="DDD4B356">
      <w:start w:val="1"/>
      <w:numFmt w:val="lowerLetter"/>
      <w:lvlText w:val="%8."/>
      <w:lvlJc w:val="left"/>
      <w:pPr>
        <w:ind w:left="5760" w:hanging="360"/>
      </w:pPr>
    </w:lvl>
    <w:lvl w:ilvl="8" w:tplc="6F408584">
      <w:start w:val="1"/>
      <w:numFmt w:val="lowerRoman"/>
      <w:lvlText w:val="%9."/>
      <w:lvlJc w:val="right"/>
      <w:pPr>
        <w:ind w:left="6480" w:hanging="180"/>
      </w:pPr>
    </w:lvl>
  </w:abstractNum>
  <w:abstractNum w:abstractNumId="4" w15:restartNumberingAfterBreak="0">
    <w:nsid w:val="4F343738"/>
    <w:multiLevelType w:val="hybridMultilevel"/>
    <w:tmpl w:val="59C2D92A"/>
    <w:lvl w:ilvl="0" w:tplc="B6EE7D12">
      <w:start w:val="1"/>
      <w:numFmt w:val="bullet"/>
      <w:lvlText w:val="-"/>
      <w:lvlJc w:val="left"/>
      <w:pPr>
        <w:ind w:left="720" w:hanging="360"/>
      </w:pPr>
      <w:rPr>
        <w:rFonts w:ascii="Calibri" w:eastAsiaTheme="minorHAnsi" w:hAnsi="Calibri" w:cs="Calibri" w:hint="default"/>
      </w:rPr>
    </w:lvl>
    <w:lvl w:ilvl="1" w:tplc="B0B240A6">
      <w:start w:val="1"/>
      <w:numFmt w:val="bullet"/>
      <w:lvlText w:val="o"/>
      <w:lvlJc w:val="left"/>
      <w:pPr>
        <w:ind w:left="1440" w:hanging="360"/>
      </w:pPr>
      <w:rPr>
        <w:rFonts w:ascii="Courier New" w:hAnsi="Courier New" w:cs="Courier New" w:hint="default"/>
      </w:rPr>
    </w:lvl>
    <w:lvl w:ilvl="2" w:tplc="82F8F906">
      <w:start w:val="2"/>
      <w:numFmt w:val="bullet"/>
      <w:lvlText w:val=""/>
      <w:lvlJc w:val="left"/>
      <w:pPr>
        <w:ind w:left="2160" w:hanging="360"/>
      </w:pPr>
      <w:rPr>
        <w:rFonts w:ascii="Wingdings" w:eastAsiaTheme="minorHAnsi" w:hAnsi="Wingdings" w:cstheme="minorBidi" w:hint="default"/>
      </w:rPr>
    </w:lvl>
    <w:lvl w:ilvl="3" w:tplc="19A08B62">
      <w:start w:val="1"/>
      <w:numFmt w:val="bullet"/>
      <w:lvlText w:val=""/>
      <w:lvlJc w:val="left"/>
      <w:pPr>
        <w:ind w:left="2880" w:hanging="360"/>
      </w:pPr>
      <w:rPr>
        <w:rFonts w:ascii="Symbol" w:hAnsi="Symbol" w:hint="default"/>
      </w:rPr>
    </w:lvl>
    <w:lvl w:ilvl="4" w:tplc="B8506E6E">
      <w:start w:val="1"/>
      <w:numFmt w:val="bullet"/>
      <w:lvlText w:val="o"/>
      <w:lvlJc w:val="left"/>
      <w:pPr>
        <w:ind w:left="3600" w:hanging="360"/>
      </w:pPr>
      <w:rPr>
        <w:rFonts w:ascii="Courier New" w:hAnsi="Courier New" w:cs="Courier New" w:hint="default"/>
      </w:rPr>
    </w:lvl>
    <w:lvl w:ilvl="5" w:tplc="13B09F32">
      <w:start w:val="1"/>
      <w:numFmt w:val="bullet"/>
      <w:lvlText w:val=""/>
      <w:lvlJc w:val="left"/>
      <w:pPr>
        <w:ind w:left="4320" w:hanging="360"/>
      </w:pPr>
      <w:rPr>
        <w:rFonts w:ascii="Wingdings" w:hAnsi="Wingdings" w:hint="default"/>
      </w:rPr>
    </w:lvl>
    <w:lvl w:ilvl="6" w:tplc="BCEA05C2">
      <w:start w:val="1"/>
      <w:numFmt w:val="bullet"/>
      <w:lvlText w:val=""/>
      <w:lvlJc w:val="left"/>
      <w:pPr>
        <w:ind w:left="5040" w:hanging="360"/>
      </w:pPr>
      <w:rPr>
        <w:rFonts w:ascii="Symbol" w:hAnsi="Symbol" w:hint="default"/>
      </w:rPr>
    </w:lvl>
    <w:lvl w:ilvl="7" w:tplc="5F6C4CDC">
      <w:start w:val="1"/>
      <w:numFmt w:val="bullet"/>
      <w:lvlText w:val="o"/>
      <w:lvlJc w:val="left"/>
      <w:pPr>
        <w:ind w:left="5760" w:hanging="360"/>
      </w:pPr>
      <w:rPr>
        <w:rFonts w:ascii="Courier New" w:hAnsi="Courier New" w:cs="Courier New" w:hint="default"/>
      </w:rPr>
    </w:lvl>
    <w:lvl w:ilvl="8" w:tplc="0992A086">
      <w:start w:val="1"/>
      <w:numFmt w:val="bullet"/>
      <w:lvlText w:val=""/>
      <w:lvlJc w:val="left"/>
      <w:pPr>
        <w:ind w:left="6480" w:hanging="360"/>
      </w:pPr>
      <w:rPr>
        <w:rFonts w:ascii="Wingdings" w:hAnsi="Wingdings" w:hint="default"/>
      </w:rPr>
    </w:lvl>
  </w:abstractNum>
  <w:abstractNum w:abstractNumId="5" w15:restartNumberingAfterBreak="0">
    <w:nsid w:val="4FED0823"/>
    <w:multiLevelType w:val="hybridMultilevel"/>
    <w:tmpl w:val="9CE2119E"/>
    <w:lvl w:ilvl="0" w:tplc="3AD0B216">
      <w:start w:val="2"/>
      <w:numFmt w:val="decimal"/>
      <w:lvlText w:val="%1."/>
      <w:lvlJc w:val="left"/>
      <w:pPr>
        <w:ind w:left="720" w:hanging="360"/>
      </w:pPr>
      <w:rPr>
        <w:rFonts w:hint="default"/>
      </w:rPr>
    </w:lvl>
    <w:lvl w:ilvl="1" w:tplc="A64C1A70">
      <w:start w:val="1"/>
      <w:numFmt w:val="lowerLetter"/>
      <w:lvlText w:val="%2."/>
      <w:lvlJc w:val="left"/>
      <w:pPr>
        <w:ind w:left="1440" w:hanging="360"/>
      </w:pPr>
    </w:lvl>
    <w:lvl w:ilvl="2" w:tplc="9D2055BE">
      <w:start w:val="1"/>
      <w:numFmt w:val="lowerRoman"/>
      <w:lvlText w:val="%3."/>
      <w:lvlJc w:val="right"/>
      <w:pPr>
        <w:ind w:left="2160" w:hanging="180"/>
      </w:pPr>
    </w:lvl>
    <w:lvl w:ilvl="3" w:tplc="CBB8E900">
      <w:start w:val="1"/>
      <w:numFmt w:val="decimal"/>
      <w:lvlText w:val="%4."/>
      <w:lvlJc w:val="left"/>
      <w:pPr>
        <w:ind w:left="2880" w:hanging="360"/>
      </w:pPr>
    </w:lvl>
    <w:lvl w:ilvl="4" w:tplc="34446324">
      <w:start w:val="1"/>
      <w:numFmt w:val="lowerLetter"/>
      <w:lvlText w:val="%5."/>
      <w:lvlJc w:val="left"/>
      <w:pPr>
        <w:ind w:left="3600" w:hanging="360"/>
      </w:pPr>
    </w:lvl>
    <w:lvl w:ilvl="5" w:tplc="C47C72AA">
      <w:start w:val="1"/>
      <w:numFmt w:val="lowerRoman"/>
      <w:lvlText w:val="%6."/>
      <w:lvlJc w:val="right"/>
      <w:pPr>
        <w:ind w:left="4320" w:hanging="180"/>
      </w:pPr>
    </w:lvl>
    <w:lvl w:ilvl="6" w:tplc="3CCCBB58">
      <w:start w:val="1"/>
      <w:numFmt w:val="decimal"/>
      <w:lvlText w:val="%7."/>
      <w:lvlJc w:val="left"/>
      <w:pPr>
        <w:ind w:left="5040" w:hanging="360"/>
      </w:pPr>
    </w:lvl>
    <w:lvl w:ilvl="7" w:tplc="9E70D42A">
      <w:start w:val="1"/>
      <w:numFmt w:val="lowerLetter"/>
      <w:lvlText w:val="%8."/>
      <w:lvlJc w:val="left"/>
      <w:pPr>
        <w:ind w:left="5760" w:hanging="360"/>
      </w:pPr>
    </w:lvl>
    <w:lvl w:ilvl="8" w:tplc="CB32C02C">
      <w:start w:val="1"/>
      <w:numFmt w:val="lowerRoman"/>
      <w:lvlText w:val="%9."/>
      <w:lvlJc w:val="right"/>
      <w:pPr>
        <w:ind w:left="6480" w:hanging="180"/>
      </w:pPr>
    </w:lvl>
  </w:abstractNum>
  <w:abstractNum w:abstractNumId="6" w15:restartNumberingAfterBreak="0">
    <w:nsid w:val="5EC31FD8"/>
    <w:multiLevelType w:val="hybridMultilevel"/>
    <w:tmpl w:val="BD3AD7C6"/>
    <w:lvl w:ilvl="0" w:tplc="5E125FCA">
      <w:start w:val="1"/>
      <w:numFmt w:val="bullet"/>
      <w:lvlText w:val=""/>
      <w:lvlJc w:val="left"/>
      <w:pPr>
        <w:ind w:left="720" w:hanging="360"/>
      </w:pPr>
      <w:rPr>
        <w:rFonts w:ascii="Symbol" w:hAnsi="Symbol" w:hint="default"/>
      </w:rPr>
    </w:lvl>
    <w:lvl w:ilvl="1" w:tplc="342CD7CE">
      <w:start w:val="1"/>
      <w:numFmt w:val="bullet"/>
      <w:lvlText w:val="o"/>
      <w:lvlJc w:val="left"/>
      <w:pPr>
        <w:ind w:left="1440" w:hanging="360"/>
      </w:pPr>
      <w:rPr>
        <w:rFonts w:ascii="Courier New" w:hAnsi="Courier New" w:cs="Courier New" w:hint="default"/>
      </w:rPr>
    </w:lvl>
    <w:lvl w:ilvl="2" w:tplc="97760736">
      <w:start w:val="1"/>
      <w:numFmt w:val="bullet"/>
      <w:lvlText w:val=""/>
      <w:lvlJc w:val="left"/>
      <w:pPr>
        <w:ind w:left="2160" w:hanging="360"/>
      </w:pPr>
      <w:rPr>
        <w:rFonts w:ascii="Wingdings" w:hAnsi="Wingdings" w:hint="default"/>
      </w:rPr>
    </w:lvl>
    <w:lvl w:ilvl="3" w:tplc="E9B0A4E2">
      <w:start w:val="1"/>
      <w:numFmt w:val="bullet"/>
      <w:lvlText w:val=""/>
      <w:lvlJc w:val="left"/>
      <w:pPr>
        <w:ind w:left="2880" w:hanging="360"/>
      </w:pPr>
      <w:rPr>
        <w:rFonts w:ascii="Symbol" w:hAnsi="Symbol" w:hint="default"/>
      </w:rPr>
    </w:lvl>
    <w:lvl w:ilvl="4" w:tplc="1AE4F92C">
      <w:start w:val="1"/>
      <w:numFmt w:val="bullet"/>
      <w:lvlText w:val="o"/>
      <w:lvlJc w:val="left"/>
      <w:pPr>
        <w:ind w:left="3600" w:hanging="360"/>
      </w:pPr>
      <w:rPr>
        <w:rFonts w:ascii="Courier New" w:hAnsi="Courier New" w:cs="Courier New" w:hint="default"/>
      </w:rPr>
    </w:lvl>
    <w:lvl w:ilvl="5" w:tplc="D42C1D08">
      <w:start w:val="1"/>
      <w:numFmt w:val="bullet"/>
      <w:lvlText w:val=""/>
      <w:lvlJc w:val="left"/>
      <w:pPr>
        <w:ind w:left="4320" w:hanging="360"/>
      </w:pPr>
      <w:rPr>
        <w:rFonts w:ascii="Wingdings" w:hAnsi="Wingdings" w:hint="default"/>
      </w:rPr>
    </w:lvl>
    <w:lvl w:ilvl="6" w:tplc="3C48F03A">
      <w:start w:val="1"/>
      <w:numFmt w:val="bullet"/>
      <w:lvlText w:val=""/>
      <w:lvlJc w:val="left"/>
      <w:pPr>
        <w:ind w:left="5040" w:hanging="360"/>
      </w:pPr>
      <w:rPr>
        <w:rFonts w:ascii="Symbol" w:hAnsi="Symbol" w:hint="default"/>
      </w:rPr>
    </w:lvl>
    <w:lvl w:ilvl="7" w:tplc="81E4AF70">
      <w:start w:val="1"/>
      <w:numFmt w:val="bullet"/>
      <w:lvlText w:val="o"/>
      <w:lvlJc w:val="left"/>
      <w:pPr>
        <w:ind w:left="5760" w:hanging="360"/>
      </w:pPr>
      <w:rPr>
        <w:rFonts w:ascii="Courier New" w:hAnsi="Courier New" w:cs="Courier New" w:hint="default"/>
      </w:rPr>
    </w:lvl>
    <w:lvl w:ilvl="8" w:tplc="F8743BAA">
      <w:start w:val="1"/>
      <w:numFmt w:val="bullet"/>
      <w:lvlText w:val=""/>
      <w:lvlJc w:val="left"/>
      <w:pPr>
        <w:ind w:left="6480" w:hanging="360"/>
      </w:pPr>
      <w:rPr>
        <w:rFonts w:ascii="Wingdings" w:hAnsi="Wingdings" w:hint="default"/>
      </w:rPr>
    </w:lvl>
  </w:abstractNum>
  <w:abstractNum w:abstractNumId="7" w15:restartNumberingAfterBreak="0">
    <w:nsid w:val="7D2306AD"/>
    <w:multiLevelType w:val="hybridMultilevel"/>
    <w:tmpl w:val="B6682D76"/>
    <w:lvl w:ilvl="0" w:tplc="57D89302">
      <w:start w:val="5"/>
      <w:numFmt w:val="decimal"/>
      <w:lvlText w:val="%1."/>
      <w:lvlJc w:val="left"/>
      <w:pPr>
        <w:ind w:left="720" w:hanging="360"/>
      </w:pPr>
      <w:rPr>
        <w:rFonts w:hint="default"/>
      </w:rPr>
    </w:lvl>
    <w:lvl w:ilvl="1" w:tplc="4078C3CE">
      <w:start w:val="1"/>
      <w:numFmt w:val="lowerLetter"/>
      <w:lvlText w:val="%2."/>
      <w:lvlJc w:val="left"/>
      <w:pPr>
        <w:ind w:left="1440" w:hanging="360"/>
      </w:pPr>
    </w:lvl>
    <w:lvl w:ilvl="2" w:tplc="5D4C874C">
      <w:start w:val="1"/>
      <w:numFmt w:val="lowerRoman"/>
      <w:lvlText w:val="%3."/>
      <w:lvlJc w:val="right"/>
      <w:pPr>
        <w:ind w:left="2160" w:hanging="180"/>
      </w:pPr>
    </w:lvl>
    <w:lvl w:ilvl="3" w:tplc="0C1AB6E8">
      <w:start w:val="1"/>
      <w:numFmt w:val="decimal"/>
      <w:lvlText w:val="%4."/>
      <w:lvlJc w:val="left"/>
      <w:pPr>
        <w:ind w:left="2880" w:hanging="360"/>
      </w:pPr>
    </w:lvl>
    <w:lvl w:ilvl="4" w:tplc="5AC80124">
      <w:start w:val="1"/>
      <w:numFmt w:val="lowerLetter"/>
      <w:lvlText w:val="%5."/>
      <w:lvlJc w:val="left"/>
      <w:pPr>
        <w:ind w:left="3600" w:hanging="360"/>
      </w:pPr>
    </w:lvl>
    <w:lvl w:ilvl="5" w:tplc="3D3C915A">
      <w:start w:val="1"/>
      <w:numFmt w:val="lowerRoman"/>
      <w:lvlText w:val="%6."/>
      <w:lvlJc w:val="right"/>
      <w:pPr>
        <w:ind w:left="4320" w:hanging="180"/>
      </w:pPr>
    </w:lvl>
    <w:lvl w:ilvl="6" w:tplc="C824BE24">
      <w:start w:val="1"/>
      <w:numFmt w:val="decimal"/>
      <w:lvlText w:val="%7."/>
      <w:lvlJc w:val="left"/>
      <w:pPr>
        <w:ind w:left="5040" w:hanging="360"/>
      </w:pPr>
    </w:lvl>
    <w:lvl w:ilvl="7" w:tplc="157A4084">
      <w:start w:val="1"/>
      <w:numFmt w:val="lowerLetter"/>
      <w:lvlText w:val="%8."/>
      <w:lvlJc w:val="left"/>
      <w:pPr>
        <w:ind w:left="5760" w:hanging="360"/>
      </w:pPr>
    </w:lvl>
    <w:lvl w:ilvl="8" w:tplc="73EA4494">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8C"/>
    <w:rsid w:val="00001188"/>
    <w:rsid w:val="00073602"/>
    <w:rsid w:val="00093D09"/>
    <w:rsid w:val="00113AC0"/>
    <w:rsid w:val="00156ADE"/>
    <w:rsid w:val="00213389"/>
    <w:rsid w:val="00301649"/>
    <w:rsid w:val="00330F8C"/>
    <w:rsid w:val="00361741"/>
    <w:rsid w:val="00407120"/>
    <w:rsid w:val="00462998"/>
    <w:rsid w:val="004A7C2A"/>
    <w:rsid w:val="004E139F"/>
    <w:rsid w:val="00515057"/>
    <w:rsid w:val="00533FC3"/>
    <w:rsid w:val="005D1C0C"/>
    <w:rsid w:val="006B0C75"/>
    <w:rsid w:val="00755D4F"/>
    <w:rsid w:val="00772F45"/>
    <w:rsid w:val="007B060A"/>
    <w:rsid w:val="00812FA3"/>
    <w:rsid w:val="008356B3"/>
    <w:rsid w:val="008443C6"/>
    <w:rsid w:val="009F7155"/>
    <w:rsid w:val="00A81C4C"/>
    <w:rsid w:val="00AE26DE"/>
    <w:rsid w:val="00B14970"/>
    <w:rsid w:val="00B92887"/>
    <w:rsid w:val="00C119BD"/>
    <w:rsid w:val="00CD7481"/>
    <w:rsid w:val="00D244B7"/>
    <w:rsid w:val="00DC2FCA"/>
    <w:rsid w:val="00FD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034C"/>
  <w15:docId w15:val="{1E35CE75-69FF-4734-9B1E-A4A1B516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ev">
    <w:name w:val="Strong"/>
    <w:basedOn w:val="Policepardfau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563C1" w:themeColor="hyperlink"/>
      <w:u w:val="single"/>
    </w:rPr>
  </w:style>
  <w:style w:type="paragraph" w:styleId="Rvision">
    <w:name w:val="Revision"/>
    <w:hidden/>
    <w:uiPriority w:val="99"/>
    <w:semiHidden/>
    <w:pPr>
      <w:spacing w:after="0" w:line="240" w:lineRule="auto"/>
    </w:pPr>
  </w:style>
  <w:style w:type="character" w:customStyle="1" w:styleId="hgkelc">
    <w:name w:val="hgkelc"/>
    <w:basedOn w:val="Policepardfaut"/>
    <w:rsid w:val="0084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riculture.gouv.fr/nouvelles-dispositions-reglementaires-pour-la-protection-des-abeilles-et-des-insectes" TargetMode="External"/><Relationship Id="rId5" Type="http://schemas.openxmlformats.org/officeDocument/2006/relationships/settings" Target="settings.xml"/><Relationship Id="rId10" Type="http://schemas.openxmlformats.org/officeDocument/2006/relationships/hyperlink" Target="https://agriculture.gouv.fr/la-strategie-nationale-de-deploiement-du-biocontrole" TargetMode="External"/><Relationship Id="rId4" Type="http://schemas.openxmlformats.org/officeDocument/2006/relationships/styles" Target="styles.xml"/><Relationship Id="rId9" Type="http://schemas.openxmlformats.org/officeDocument/2006/relationships/hyperlink" Target="https://draaf.occitanie.agriculture.rie.gouv.fr/les-achats-de-produits-phytopharmaceutiques-baissent-en-occitanie-a7661.html?var_mode=calcu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34F0-7571-4408-9B20-052553AB2572}">
  <ds:schemaRefs>
    <ds:schemaRef ds:uri="http://schemas.openxmlformats.org/officeDocument/2006/bibliography"/>
  </ds:schemaRefs>
</ds:datastoreItem>
</file>

<file path=customXml/itemProps2.xml><?xml version="1.0" encoding="utf-8"?>
<ds:datastoreItem xmlns:ds="http://schemas.openxmlformats.org/officeDocument/2006/customXml" ds:itemID="{0FFD4A74-FA06-41F8-B88C-D5ED884D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2001</Words>
  <Characters>11008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ORY</dc:creator>
  <cp:keywords/>
  <dc:description/>
  <cp:lastModifiedBy>Christine Colas</cp:lastModifiedBy>
  <cp:revision>5</cp:revision>
  <dcterms:created xsi:type="dcterms:W3CDTF">2023-01-27T10:43:00Z</dcterms:created>
  <dcterms:modified xsi:type="dcterms:W3CDTF">2023-01-27T11:45:00Z</dcterms:modified>
</cp:coreProperties>
</file>